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三河市高楼镇人民政府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1.宣传贯彻执行党的路线方针政策和党中央、上级党组织及本镇党员代表大会（党员大会）的决议。贯彻执行法律、法规、规章和上级人民代表大会及其常务委员会决议及上级政府的决 定、命令，执行本级人民代表大会的决议。</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2.讨论和决定本镇经济建设、政治建设、文化建设、社会建设、生态文明建设和党的建设以及乡村振兴中的重大问题。</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3.组织召开本级人民代表大会，充分行使重大事项决定权、监督权和任免权，做好人大代表工作，联系选民、反映群众意见和要求。</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4.执行本行政区域内的经济和社会发展计划、预算，管理本行政区域内的经济、教育、科学、文化、卫生健康、体育事业财政、统计、民政、司法等行政工作。落实本行政区域内发展规 划、专项规划、区域规划、国土空间规划。</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6.加强镇党委自身建设和村党组织建设，以及其他隶属镇党委的党组织建设，抓好发展党员工作，加强党员队伍建设。维护和执行党的纪律，监督党员干部和其他任何工作人员严格遵守国 家法律法规。</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7.按照干部管理权限，负责对干部的教育、培训、选拔、考核和监督工作。协助管理上级有关</w:t>
      </w:r>
      <w:r>
        <w:rPr>
          <w:rFonts w:hint="eastAsia" w:ascii="Times New Roman" w:hAnsi="Times New Roman" w:eastAsia="仿宋_GB2312" w:cs="Times New Roman"/>
          <w:color w:val="auto"/>
          <w:sz w:val="32"/>
          <w:szCs w:val="32"/>
          <w:lang w:eastAsia="zh-CN"/>
        </w:rPr>
        <w:t>单位</w:t>
      </w:r>
      <w:r>
        <w:rPr>
          <w:rFonts w:hint="eastAsia" w:ascii="Times New Roman" w:hAnsi="Times New Roman" w:eastAsia="仿宋_GB2312" w:cs="Times New Roman"/>
          <w:color w:val="auto"/>
          <w:sz w:val="32"/>
          <w:szCs w:val="32"/>
        </w:rPr>
        <w:t>驻镇单位的干部。做好人 才服务工作。 -</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8.领导本镇的基层治理，加强社会主义民主法治建设和精神文明建设，加强社会治安综合治理，做好应急管理、生态环保、 乡村振兴、民生保障、脱贫致富、民族宗教、防范邪教等工作。 承担民兵预备役、征兵、退役军人服务、拥军优属等工作。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9.保护社会主义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10.承办上级党委、人大、政府交办的其他事项。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单位名称</w:t>
            </w:r>
          </w:p>
        </w:tc>
        <w:tc>
          <w:tcPr>
            <w:tcW w:w="1134"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单位性质</w:t>
            </w:r>
          </w:p>
        </w:tc>
        <w:tc>
          <w:tcPr>
            <w:tcW w:w="1276"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单位规格</w:t>
            </w:r>
          </w:p>
        </w:tc>
        <w:tc>
          <w:tcPr>
            <w:tcW w:w="2902"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rPr>
                <w:rFonts w:hint="eastAsia" w:ascii="宋体" w:hAnsi="宋体" w:eastAsia="宋体" w:cs="宋体"/>
                <w:sz w:val="21"/>
                <w:szCs w:val="21"/>
              </w:rPr>
            </w:pPr>
          </w:p>
        </w:tc>
        <w:tc>
          <w:tcPr>
            <w:tcW w:w="1134" w:type="dxa"/>
            <w:vMerge w:val="continue"/>
            <w:shd w:val="clear" w:color="auto" w:fill="auto"/>
            <w:vAlign w:val="center"/>
          </w:tcPr>
          <w:p>
            <w:pPr>
              <w:rPr>
                <w:rFonts w:hint="eastAsia" w:ascii="宋体" w:hAnsi="宋体" w:eastAsia="宋体" w:cs="宋体"/>
                <w:sz w:val="21"/>
                <w:szCs w:val="21"/>
              </w:rPr>
            </w:pPr>
          </w:p>
        </w:tc>
        <w:tc>
          <w:tcPr>
            <w:tcW w:w="1276" w:type="dxa"/>
            <w:vMerge w:val="continue"/>
            <w:shd w:val="clear" w:color="auto" w:fill="auto"/>
            <w:vAlign w:val="center"/>
          </w:tcPr>
          <w:p>
            <w:pPr>
              <w:rPr>
                <w:rFonts w:hint="eastAsia" w:ascii="宋体" w:hAnsi="宋体" w:eastAsia="宋体" w:cs="宋体"/>
                <w:sz w:val="21"/>
                <w:szCs w:val="21"/>
              </w:rPr>
            </w:pPr>
          </w:p>
        </w:tc>
        <w:tc>
          <w:tcPr>
            <w:tcW w:w="2902" w:type="dxa"/>
            <w:vMerge w:val="continue"/>
            <w:shd w:val="clear" w:color="auto" w:fill="auto"/>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44" w:hRule="atLeast"/>
          <w:jc w:val="center"/>
        </w:trPr>
        <w:tc>
          <w:tcPr>
            <w:tcW w:w="4443"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三河市高楼镇人民政府</w:t>
            </w:r>
          </w:p>
        </w:tc>
        <w:tc>
          <w:tcPr>
            <w:tcW w:w="1134"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行政</w:t>
            </w:r>
          </w:p>
        </w:tc>
        <w:tc>
          <w:tcPr>
            <w:tcW w:w="1276"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正科</w:t>
            </w:r>
          </w:p>
        </w:tc>
        <w:tc>
          <w:tcPr>
            <w:tcW w:w="2902"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22896.98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8242.98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14654.00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22896.98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1630.64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1419.08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211.56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21266</w:t>
      </w: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均为本级支出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bookmarkStart w:id="7" w:name="_GoBack"/>
      <w:bookmarkEnd w:id="7"/>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2年预算收支安排</w:t>
      </w:r>
      <w:r>
        <w:rPr>
          <w:rFonts w:hint="eastAsia" w:ascii="Times New Roman" w:hAnsi="Times New Roman" w:eastAsia="仿宋_GB2312" w:cs="Times New Roman"/>
          <w:sz w:val="32"/>
          <w:szCs w:val="32"/>
          <w:highlight w:val="none"/>
        </w:rPr>
        <w:t>22896.98</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1年预算减少</w:t>
      </w:r>
      <w:r>
        <w:rPr>
          <w:rFonts w:hint="eastAsia" w:ascii="Times New Roman" w:hAnsi="Times New Roman" w:eastAsia="仿宋_GB2312" w:cs="Times New Roman"/>
          <w:sz w:val="32"/>
          <w:szCs w:val="32"/>
          <w:highlight w:val="none"/>
          <w:lang w:val="en-US" w:eastAsia="zh-CN"/>
        </w:rPr>
        <w:t>10978.96</w:t>
      </w:r>
      <w:r>
        <w:rPr>
          <w:rFonts w:ascii="Times New Roman" w:hAnsi="Times New Roman" w:eastAsia="仿宋_GB2312" w:cs="Times New Roman"/>
          <w:sz w:val="32"/>
          <w:szCs w:val="32"/>
          <w:highlight w:val="none"/>
        </w:rPr>
        <w:t>万元，其中：基本支出减少</w:t>
      </w:r>
      <w:r>
        <w:rPr>
          <w:rFonts w:hint="eastAsia" w:ascii="Times New Roman" w:hAnsi="Times New Roman" w:eastAsia="仿宋_GB2312" w:cs="Times New Roman"/>
          <w:sz w:val="32"/>
          <w:szCs w:val="32"/>
          <w:highlight w:val="none"/>
          <w:lang w:val="en-US" w:eastAsia="zh-CN"/>
        </w:rPr>
        <w:t>68.99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14.25万元，公用经费减少54.74万元</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10909.97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征地拆迁补偿</w:t>
      </w:r>
      <w:r>
        <w:rPr>
          <w:rFonts w:ascii="Times New Roman" w:hAnsi="Times New Roman" w:eastAsia="仿宋_GB2312" w:cs="Times New Roman"/>
          <w:sz w:val="32"/>
          <w:szCs w:val="32"/>
          <w:highlight w:val="none"/>
        </w:rPr>
        <w:t>项目支出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211.56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w:t>
      </w:r>
      <w:r>
        <w:rPr>
          <w:rFonts w:hint="eastAsia" w:ascii="Times New Roman" w:hAnsi="Times New Roman" w:eastAsia="仿宋_GB2312" w:cs="Times New Roman"/>
          <w:sz w:val="32"/>
          <w:szCs w:val="32"/>
          <w:highlight w:val="none"/>
          <w:lang w:eastAsia="zh-CN"/>
        </w:rPr>
        <w:t>单位</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32.3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30</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2.3</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ascii="Times New Roman" w:hAnsi="Times New Roman" w:eastAsia="仿宋_GB2312" w:cs="Times New Roman"/>
          <w:sz w:val="32"/>
          <w:szCs w:val="32"/>
          <w:highlight w:val="none"/>
        </w:rPr>
        <w:t>万元（其中：公务用车运维费减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0.17</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2022年我镇将结合特殊区位优势及工作实际，坚持抓党建促乡村振兴，按照“围绕发展抓党建、围绕党建促发展”的工作思路，突出党建引领作用，把加强组织建设和各项工作有机结合起来，在重点推动服务园区建设不断加快、人居环境整治明显提升、村集体经济不断壮大的同时，镇党委的号召力、村集体的凝聚力必将不断加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服务园区建设方面。按照“融入园区大发展，打造环境促发展，优化产业快发展”的工作思路，守住政策红线，把住纪律底线，加快推进14个重点项目1715亩土地的征收及补偿工作；强力推进北京轨道交通22号线建设，做好沿线8个村街土地征收及补偿工作，预计征拆面积19.2万平米；扎实推进孤山营等3个村街改造工作，抓好1837亩村址、1117座宅基地的征收工作，做好1380户、4429人的安置补偿工作，争取项目早进场、早施工。</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人居环境整治方面。坚持规划先行，开阔筹资酬劳路径，着力打造亮点村街，全域推进绿美坑塘建设，全力实施“七通一亮两治”攻坚行动，计划安装路灯1510盏，治理坑塘31个，硬化农村土路11.83万平米，2022年6月前完成耕地建房拆除任务，不断提升村街环境品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壮大集体经济方面。一是深入开展承包地清理和集体资产清理，全面摸排建立村内外集体建设用地发包台账，推行集体询价、村级发包、镇级会商制度，勇于担当，敢于伤害小部分人利益，使发包价格市场化、公开化、透明化，部分地块收益有望实现10倍以上增长；二是打破有形象没效益，有投入没产出的形象工程，打造高效、新式大棚产业，试点村街石官营村在2020年建设了3座7米高占地15亩的堆土式大棚（单棚占地5亩，18米宽、100米长，棚内面积3亩），年产值100万元以上，2022年在北部村街谋划大面积推广高标准暖棚36座，占地11万余平米，利用好已争取到的330万元低息农业贷款，加快引进棚菜技，畅通首都销售渠道，探索打造“龙头企业+社会资本+村街+农户”联合体，形成规模效应，实现共赢；三是打造特色村街，探索文旅产业新模式，实现采摘、科普、民宿、康养的有机结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高楼镇将严格落实市委、市政府的各项决策部署，不断开拓思路，强化举措，进一步完善治安防控体系，深入推进“平安高楼”建设，开展常态化治乱，抓好大气污染防治行动，筑牢安全生产防线，确保即将到来的2022年冬奥会、全国两会、党的二十大会期间社会和谐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rPr>
          <w:rFonts w:hint="eastAsia" w:ascii="仿宋" w:hAnsi="仿宋" w:eastAsia="仿宋" w:cs="仿宋"/>
          <w:sz w:val="32"/>
          <w:szCs w:val="32"/>
        </w:rPr>
      </w:pPr>
      <w:r>
        <w:rPr>
          <w:rFonts w:hint="eastAsia" w:ascii="仿宋" w:hAnsi="仿宋" w:eastAsia="仿宋" w:cs="仿宋"/>
          <w:sz w:val="32"/>
          <w:szCs w:val="32"/>
        </w:rPr>
        <w:t>1、提高人大监督能力</w:t>
      </w:r>
    </w:p>
    <w:p>
      <w:pPr>
        <w:pStyle w:val="19"/>
        <w:rPr>
          <w:rFonts w:hint="eastAsia" w:ascii="仿宋" w:hAnsi="仿宋" w:eastAsia="仿宋" w:cs="仿宋"/>
          <w:sz w:val="32"/>
          <w:szCs w:val="32"/>
        </w:rPr>
      </w:pPr>
      <w:r>
        <w:rPr>
          <w:rFonts w:hint="eastAsia" w:ascii="仿宋" w:hAnsi="仿宋" w:eastAsia="仿宋" w:cs="仿宋"/>
          <w:sz w:val="32"/>
          <w:szCs w:val="32"/>
        </w:rPr>
        <w:t>绩效目标：1、促进各项法律法规、人大决议、报告等在我镇行政区域内的落实。2、完善各项会议制度，规范会议程序，提高会议质量，提高我镇人大代表及党委会审议水平。3、提高组织换届选举工作水平。</w:t>
      </w:r>
    </w:p>
    <w:p>
      <w:pPr>
        <w:pStyle w:val="19"/>
        <w:rPr>
          <w:rFonts w:hint="eastAsia" w:ascii="仿宋" w:hAnsi="仿宋" w:eastAsia="仿宋" w:cs="仿宋"/>
          <w:sz w:val="32"/>
          <w:szCs w:val="32"/>
        </w:rPr>
      </w:pPr>
      <w:r>
        <w:rPr>
          <w:rFonts w:hint="eastAsia" w:ascii="仿宋" w:hAnsi="仿宋" w:eastAsia="仿宋" w:cs="仿宋"/>
          <w:sz w:val="32"/>
          <w:szCs w:val="32"/>
        </w:rPr>
        <w:t>绩效指标：1、会议活动完成率100%。2、换届选举工作完成率100%。</w:t>
      </w:r>
    </w:p>
    <w:p>
      <w:pPr>
        <w:pStyle w:val="19"/>
        <w:rPr>
          <w:rFonts w:hint="eastAsia" w:ascii="仿宋" w:hAnsi="仿宋" w:eastAsia="仿宋" w:cs="仿宋"/>
          <w:sz w:val="32"/>
          <w:szCs w:val="32"/>
        </w:rPr>
      </w:pPr>
      <w:r>
        <w:rPr>
          <w:rFonts w:hint="eastAsia" w:ascii="仿宋" w:hAnsi="仿宋" w:eastAsia="仿宋" w:cs="仿宋"/>
          <w:sz w:val="32"/>
          <w:szCs w:val="32"/>
        </w:rPr>
        <w:t>2、抓好党委班子和基层支部建设</w:t>
      </w:r>
    </w:p>
    <w:p>
      <w:pPr>
        <w:pStyle w:val="19"/>
        <w:rPr>
          <w:rFonts w:hint="eastAsia" w:ascii="仿宋" w:hAnsi="仿宋" w:eastAsia="仿宋" w:cs="仿宋"/>
          <w:sz w:val="32"/>
          <w:szCs w:val="32"/>
        </w:rPr>
      </w:pPr>
      <w:r>
        <w:rPr>
          <w:rFonts w:hint="eastAsia" w:ascii="仿宋" w:hAnsi="仿宋" w:eastAsia="仿宋" w:cs="仿宋"/>
          <w:sz w:val="32"/>
          <w:szCs w:val="32"/>
        </w:rPr>
        <w:t>绩效目标：抓好党委班子建设，领导镇政府搞好自身建设和基层党支部换届选举工作；不断提高干部素质和业务能力；讨论决定本级经济建设和社会发展等重大问题；做好社会治安综合治理，领导各级政府</w:t>
      </w:r>
      <w:r>
        <w:rPr>
          <w:rFonts w:hint="eastAsia" w:ascii="仿宋" w:hAnsi="仿宋" w:eastAsia="仿宋" w:cs="仿宋"/>
          <w:sz w:val="32"/>
          <w:szCs w:val="32"/>
          <w:lang w:eastAsia="zh-CN"/>
        </w:rPr>
        <w:t>单位</w:t>
      </w:r>
      <w:r>
        <w:rPr>
          <w:rFonts w:hint="eastAsia" w:ascii="仿宋" w:hAnsi="仿宋" w:eastAsia="仿宋" w:cs="仿宋"/>
          <w:sz w:val="32"/>
          <w:szCs w:val="32"/>
        </w:rPr>
        <w:t>做好本职工作；参与职工安全生产保护工作，为工会、组织、干部、职工提供维权渠道；领导全镇共青团工作；团结、教育全镇妇女及各类妇女组织同党中央在思想上、政治上、行动上保持高度一致，全面提高妇女素质。</w:t>
      </w:r>
    </w:p>
    <w:p>
      <w:pPr>
        <w:pStyle w:val="19"/>
        <w:rPr>
          <w:rFonts w:hint="eastAsia" w:ascii="仿宋" w:hAnsi="仿宋" w:eastAsia="仿宋" w:cs="仿宋"/>
          <w:sz w:val="32"/>
          <w:szCs w:val="32"/>
        </w:rPr>
      </w:pPr>
      <w:r>
        <w:rPr>
          <w:rFonts w:hint="eastAsia" w:ascii="仿宋" w:hAnsi="仿宋" w:eastAsia="仿宋" w:cs="仿宋"/>
          <w:sz w:val="32"/>
          <w:szCs w:val="32"/>
        </w:rPr>
        <w:t>绩效指标：1、村级党组织阵地建设达标率100%；2、后进支部转化完成情况100%；3、组织建设程度95%；4、支部换届完成情况100%。</w:t>
      </w:r>
    </w:p>
    <w:p>
      <w:pPr>
        <w:pStyle w:val="19"/>
        <w:rPr>
          <w:rFonts w:hint="eastAsia" w:ascii="仿宋" w:hAnsi="仿宋" w:eastAsia="仿宋" w:cs="仿宋"/>
          <w:sz w:val="32"/>
          <w:szCs w:val="32"/>
        </w:rPr>
      </w:pPr>
      <w:r>
        <w:rPr>
          <w:rFonts w:hint="eastAsia" w:ascii="仿宋" w:hAnsi="仿宋" w:eastAsia="仿宋" w:cs="仿宋"/>
          <w:sz w:val="32"/>
          <w:szCs w:val="32"/>
        </w:rPr>
        <w:t>3、增强农村组织服务能力</w:t>
      </w:r>
    </w:p>
    <w:p>
      <w:pPr>
        <w:pStyle w:val="19"/>
        <w:rPr>
          <w:rFonts w:hint="eastAsia" w:ascii="仿宋" w:hAnsi="仿宋" w:eastAsia="仿宋" w:cs="仿宋"/>
          <w:sz w:val="32"/>
          <w:szCs w:val="32"/>
        </w:rPr>
      </w:pPr>
      <w:r>
        <w:rPr>
          <w:rFonts w:hint="eastAsia" w:ascii="仿宋" w:hAnsi="仿宋" w:eastAsia="仿宋" w:cs="仿宋"/>
          <w:sz w:val="32"/>
          <w:szCs w:val="32"/>
        </w:rPr>
        <w:t>绩效目标：抓好“两委”班子建设，协助镇党委搞好自身建设和基层党支部换届选举工作；做好两室阵地建设；开好乡镇党代会、党代会年会；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pStyle w:val="19"/>
        <w:rPr>
          <w:rFonts w:hint="eastAsia" w:ascii="仿宋" w:hAnsi="仿宋" w:eastAsia="仿宋" w:cs="仿宋"/>
          <w:sz w:val="32"/>
          <w:szCs w:val="32"/>
        </w:rPr>
      </w:pPr>
      <w:r>
        <w:rPr>
          <w:rFonts w:hint="eastAsia" w:ascii="仿宋" w:hAnsi="仿宋" w:eastAsia="仿宋" w:cs="仿宋"/>
          <w:sz w:val="32"/>
          <w:szCs w:val="32"/>
        </w:rPr>
        <w:t>绩效指标：1、村干部工资发放率95%；2、农村党组织换届率100%；3、大学生村官到岗率100%；4、困难党员帮扶覆盖率95%以上；5、干部培训完成情况100%；6、发展党员情况，不出现三年以上不发展党员情况；7、干部考核监督调研次数不低于每季度一次。</w:t>
      </w:r>
    </w:p>
    <w:p>
      <w:pPr>
        <w:pStyle w:val="19"/>
        <w:rPr>
          <w:rFonts w:hint="eastAsia" w:ascii="仿宋" w:hAnsi="仿宋" w:eastAsia="仿宋" w:cs="仿宋"/>
          <w:sz w:val="32"/>
          <w:szCs w:val="32"/>
        </w:rPr>
      </w:pPr>
      <w:r>
        <w:rPr>
          <w:rFonts w:hint="eastAsia" w:ascii="仿宋" w:hAnsi="仿宋" w:eastAsia="仿宋" w:cs="仿宋"/>
          <w:sz w:val="32"/>
          <w:szCs w:val="32"/>
        </w:rPr>
        <w:t>4、加强纪检监督巡查力度</w:t>
      </w:r>
    </w:p>
    <w:p>
      <w:pPr>
        <w:pStyle w:val="19"/>
        <w:rPr>
          <w:rFonts w:hint="eastAsia" w:ascii="仿宋" w:hAnsi="仿宋" w:eastAsia="仿宋" w:cs="仿宋"/>
          <w:sz w:val="32"/>
          <w:szCs w:val="32"/>
        </w:rPr>
      </w:pPr>
      <w:r>
        <w:rPr>
          <w:rFonts w:hint="eastAsia" w:ascii="仿宋" w:hAnsi="仿宋" w:eastAsia="仿宋" w:cs="仿宋"/>
          <w:sz w:val="32"/>
          <w:szCs w:val="32"/>
        </w:rPr>
        <w:t>绩效目标：维护党纪国法尊严，坚决惩处腐败分子，有效遏制腐败、违纪现象。加大问责力度确保从严治党责任落实到位。</w:t>
      </w:r>
    </w:p>
    <w:p>
      <w:pPr>
        <w:pStyle w:val="19"/>
        <w:rPr>
          <w:rFonts w:hint="eastAsia" w:ascii="仿宋" w:hAnsi="仿宋" w:eastAsia="仿宋" w:cs="仿宋"/>
          <w:sz w:val="32"/>
          <w:szCs w:val="32"/>
        </w:rPr>
      </w:pPr>
      <w:r>
        <w:rPr>
          <w:rFonts w:hint="eastAsia" w:ascii="仿宋" w:hAnsi="仿宋" w:eastAsia="仿宋" w:cs="仿宋"/>
          <w:sz w:val="32"/>
          <w:szCs w:val="32"/>
        </w:rPr>
        <w:t>绩效指标：1、资金使用规范率100%；2、教育活动落实率85%；3、巡视工作完成率100%。</w:t>
      </w:r>
    </w:p>
    <w:p>
      <w:pPr>
        <w:pStyle w:val="19"/>
        <w:rPr>
          <w:rFonts w:hint="eastAsia" w:ascii="仿宋" w:hAnsi="仿宋" w:eastAsia="仿宋" w:cs="仿宋"/>
          <w:sz w:val="32"/>
          <w:szCs w:val="32"/>
        </w:rPr>
      </w:pPr>
      <w:r>
        <w:rPr>
          <w:rFonts w:hint="eastAsia" w:ascii="仿宋" w:hAnsi="仿宋" w:eastAsia="仿宋" w:cs="仿宋"/>
          <w:sz w:val="32"/>
          <w:szCs w:val="32"/>
        </w:rPr>
        <w:t>5、增强社会事务服务能力</w:t>
      </w:r>
    </w:p>
    <w:p>
      <w:pPr>
        <w:pStyle w:val="19"/>
        <w:rPr>
          <w:rFonts w:hint="eastAsia" w:ascii="仿宋" w:hAnsi="仿宋" w:eastAsia="仿宋" w:cs="仿宋"/>
          <w:sz w:val="32"/>
          <w:szCs w:val="32"/>
        </w:rPr>
      </w:pPr>
      <w:r>
        <w:rPr>
          <w:rFonts w:hint="eastAsia" w:ascii="仿宋" w:hAnsi="仿宋" w:eastAsia="仿宋" w:cs="仿宋"/>
          <w:sz w:val="32"/>
          <w:szCs w:val="32"/>
        </w:rPr>
        <w:t>绩效目标：城乡居民低保、五保应保尽保；新农合医疗、重大疾病救助，残疾人、孤儿、困难家庭儿童救助，退伍士兵优抚，危房改造等工作受理上报全面、及时、到位；缓解因意外事件对特殊家庭造成的暂时生活困难；建立健全城乡基层群众自治组织，在村民委员会实行“四个民主”。</w:t>
      </w:r>
    </w:p>
    <w:p>
      <w:pPr>
        <w:pStyle w:val="19"/>
        <w:rPr>
          <w:rFonts w:hint="eastAsia" w:ascii="仿宋" w:hAnsi="仿宋" w:eastAsia="仿宋" w:cs="仿宋"/>
          <w:sz w:val="32"/>
          <w:szCs w:val="32"/>
        </w:rPr>
      </w:pPr>
      <w:r>
        <w:rPr>
          <w:rFonts w:hint="eastAsia" w:ascii="仿宋" w:hAnsi="仿宋" w:eastAsia="仿宋" w:cs="仿宋"/>
          <w:sz w:val="32"/>
          <w:szCs w:val="32"/>
        </w:rPr>
        <w:t>绩效指标：1、各项工作指标到位率85%；2、生活救助到位率85%；3、村民委员会换届选举率达到或超过上届水平。</w:t>
      </w:r>
    </w:p>
    <w:p>
      <w:pPr>
        <w:pStyle w:val="19"/>
        <w:rPr>
          <w:rFonts w:hint="eastAsia" w:ascii="仿宋" w:hAnsi="仿宋" w:eastAsia="仿宋" w:cs="仿宋"/>
          <w:sz w:val="32"/>
          <w:szCs w:val="32"/>
        </w:rPr>
      </w:pPr>
      <w:r>
        <w:rPr>
          <w:rFonts w:hint="eastAsia" w:ascii="仿宋" w:hAnsi="仿宋" w:eastAsia="仿宋" w:cs="仿宋"/>
          <w:sz w:val="32"/>
          <w:szCs w:val="32"/>
        </w:rPr>
        <w:t>6、规范财税工作管理</w:t>
      </w:r>
    </w:p>
    <w:p>
      <w:pPr>
        <w:pStyle w:val="19"/>
        <w:rPr>
          <w:rFonts w:hint="eastAsia" w:ascii="仿宋" w:hAnsi="仿宋" w:eastAsia="仿宋" w:cs="仿宋"/>
          <w:sz w:val="32"/>
          <w:szCs w:val="32"/>
        </w:rPr>
      </w:pPr>
      <w:r>
        <w:rPr>
          <w:rFonts w:hint="eastAsia" w:ascii="仿宋" w:hAnsi="仿宋" w:eastAsia="仿宋" w:cs="仿宋"/>
          <w:sz w:val="32"/>
          <w:szCs w:val="32"/>
        </w:rPr>
        <w:t>绩效目标：严格依照国家法规政策、认真履行各项财政监管职能，确保财政资金使用合理、合法、合规，杜绝腐败案件发生，进一步提高机关效能，服务于全镇经济发展。</w:t>
      </w:r>
    </w:p>
    <w:p>
      <w:pPr>
        <w:pStyle w:val="19"/>
        <w:rPr>
          <w:rFonts w:hint="eastAsia" w:ascii="仿宋" w:hAnsi="仿宋" w:eastAsia="仿宋" w:cs="仿宋"/>
          <w:sz w:val="32"/>
          <w:szCs w:val="32"/>
        </w:rPr>
      </w:pPr>
      <w:r>
        <w:rPr>
          <w:rFonts w:hint="eastAsia" w:ascii="仿宋" w:hAnsi="仿宋" w:eastAsia="仿宋" w:cs="仿宋"/>
          <w:sz w:val="32"/>
          <w:szCs w:val="32"/>
        </w:rPr>
        <w:t>绩效指标：1、降低资金使用错误率；2、资金合理投入率85%；3、补贴类资金信访案件量与发放错误量累加不超过3件；4、国有资产流失量与使用超标量原值累加低于10万元；5、上级财政主管</w:t>
      </w:r>
      <w:r>
        <w:rPr>
          <w:rFonts w:hint="eastAsia" w:ascii="仿宋" w:hAnsi="仿宋" w:eastAsia="仿宋" w:cs="仿宋"/>
          <w:sz w:val="32"/>
          <w:szCs w:val="32"/>
          <w:lang w:eastAsia="zh-CN"/>
        </w:rPr>
        <w:t>单位</w:t>
      </w:r>
      <w:r>
        <w:rPr>
          <w:rFonts w:hint="eastAsia" w:ascii="仿宋" w:hAnsi="仿宋" w:eastAsia="仿宋" w:cs="仿宋"/>
          <w:sz w:val="32"/>
          <w:szCs w:val="32"/>
        </w:rPr>
        <w:t xml:space="preserve">评价“良”值及以上。       </w:t>
      </w:r>
    </w:p>
    <w:p>
      <w:pPr>
        <w:pStyle w:val="19"/>
        <w:rPr>
          <w:rFonts w:hint="eastAsia" w:ascii="仿宋" w:hAnsi="仿宋" w:eastAsia="仿宋" w:cs="仿宋"/>
          <w:sz w:val="32"/>
          <w:szCs w:val="32"/>
        </w:rPr>
      </w:pPr>
      <w:r>
        <w:rPr>
          <w:rFonts w:hint="eastAsia" w:ascii="仿宋" w:hAnsi="仿宋" w:eastAsia="仿宋" w:cs="仿宋"/>
          <w:sz w:val="32"/>
          <w:szCs w:val="32"/>
        </w:rPr>
        <w:t>7、完善社会保障服务体系</w:t>
      </w:r>
    </w:p>
    <w:p>
      <w:pPr>
        <w:pStyle w:val="19"/>
        <w:rPr>
          <w:rFonts w:hint="eastAsia" w:ascii="仿宋" w:hAnsi="仿宋" w:eastAsia="仿宋" w:cs="仿宋"/>
          <w:sz w:val="32"/>
          <w:szCs w:val="32"/>
        </w:rPr>
      </w:pPr>
      <w:r>
        <w:rPr>
          <w:rFonts w:hint="eastAsia" w:ascii="仿宋" w:hAnsi="仿宋" w:eastAsia="仿宋" w:cs="仿宋"/>
          <w:sz w:val="32"/>
          <w:szCs w:val="32"/>
        </w:rPr>
        <w:t>绩效目标：完善城乡社会救助制度，实施分类救助，应保尽保，动态管理；残疾人、孤儿救助设施齐全；解决优抚对象的生活、住房、医疗困难，按时足额发放各类经济补助；推进全镇社会组织健康发展。</w:t>
      </w:r>
    </w:p>
    <w:p>
      <w:pPr>
        <w:pStyle w:val="19"/>
        <w:rPr>
          <w:rFonts w:hint="eastAsia" w:ascii="仿宋" w:hAnsi="仿宋" w:eastAsia="仿宋" w:cs="仿宋"/>
          <w:sz w:val="32"/>
          <w:szCs w:val="32"/>
        </w:rPr>
      </w:pPr>
      <w:r>
        <w:rPr>
          <w:rFonts w:hint="eastAsia" w:ascii="仿宋" w:hAnsi="仿宋" w:eastAsia="仿宋" w:cs="仿宋"/>
          <w:sz w:val="32"/>
          <w:szCs w:val="32"/>
        </w:rPr>
        <w:t>绩效指标：1、城乡居民低保保障率90%；2、五保供养保障率90%；3、生活救助到位率90%；4、参保资助率，报销比例不低于90%；5、残疾人保障率90%；6、孤儿基本生活保障率90%；7、优抚对象补助到位率满意；8、村民委员会换届选举完成率100%。</w:t>
      </w:r>
    </w:p>
    <w:p>
      <w:pPr>
        <w:pStyle w:val="19"/>
        <w:rPr>
          <w:rFonts w:hint="eastAsia" w:ascii="仿宋" w:hAnsi="仿宋" w:eastAsia="仿宋" w:cs="仿宋"/>
          <w:sz w:val="32"/>
          <w:szCs w:val="32"/>
        </w:rPr>
      </w:pPr>
      <w:r>
        <w:rPr>
          <w:rFonts w:hint="eastAsia" w:ascii="仿宋" w:hAnsi="仿宋" w:eastAsia="仿宋" w:cs="仿宋"/>
          <w:sz w:val="32"/>
          <w:szCs w:val="32"/>
        </w:rPr>
        <w:t>8、加强土地城建监察工作力度</w:t>
      </w:r>
    </w:p>
    <w:p>
      <w:pPr>
        <w:pStyle w:val="19"/>
        <w:rPr>
          <w:rFonts w:hint="eastAsia" w:ascii="仿宋" w:hAnsi="仿宋" w:eastAsia="仿宋" w:cs="仿宋"/>
          <w:sz w:val="32"/>
          <w:szCs w:val="32"/>
        </w:rPr>
      </w:pPr>
      <w:r>
        <w:rPr>
          <w:rFonts w:hint="eastAsia" w:ascii="仿宋" w:hAnsi="仿宋" w:eastAsia="仿宋" w:cs="仿宋"/>
          <w:sz w:val="32"/>
          <w:szCs w:val="32"/>
        </w:rPr>
        <w:t>绩效目标：进一步加大土地监察力度，抓好镇容镇貌、村容村貌和环境卫生工作。</w:t>
      </w:r>
    </w:p>
    <w:p>
      <w:pPr>
        <w:pStyle w:val="19"/>
        <w:rPr>
          <w:rFonts w:hint="eastAsia" w:ascii="仿宋" w:hAnsi="仿宋" w:eastAsia="仿宋" w:cs="仿宋"/>
          <w:sz w:val="32"/>
          <w:szCs w:val="32"/>
        </w:rPr>
      </w:pPr>
      <w:r>
        <w:rPr>
          <w:rFonts w:hint="eastAsia" w:ascii="仿宋" w:hAnsi="仿宋" w:eastAsia="仿宋" w:cs="仿宋"/>
          <w:sz w:val="32"/>
          <w:szCs w:val="32"/>
        </w:rPr>
        <w:t>绩效指标：考核公共区域保洁完成率85%以上。</w:t>
      </w:r>
    </w:p>
    <w:p>
      <w:pPr>
        <w:pStyle w:val="19"/>
        <w:rPr>
          <w:rFonts w:hint="eastAsia" w:ascii="仿宋" w:hAnsi="仿宋" w:eastAsia="仿宋" w:cs="仿宋"/>
          <w:sz w:val="32"/>
          <w:szCs w:val="32"/>
        </w:rPr>
      </w:pPr>
      <w:r>
        <w:rPr>
          <w:rFonts w:hint="eastAsia" w:ascii="仿宋" w:hAnsi="仿宋" w:eastAsia="仿宋" w:cs="仿宋"/>
          <w:sz w:val="32"/>
          <w:szCs w:val="32"/>
        </w:rPr>
        <w:t>9、提高农业服务水平</w:t>
      </w:r>
    </w:p>
    <w:p>
      <w:pPr>
        <w:pStyle w:val="19"/>
        <w:rPr>
          <w:rFonts w:hint="eastAsia" w:ascii="仿宋" w:hAnsi="仿宋" w:eastAsia="仿宋" w:cs="仿宋"/>
          <w:sz w:val="32"/>
          <w:szCs w:val="32"/>
        </w:rPr>
      </w:pPr>
      <w:r>
        <w:rPr>
          <w:rFonts w:hint="eastAsia" w:ascii="仿宋" w:hAnsi="仿宋" w:eastAsia="仿宋" w:cs="仿宋"/>
          <w:sz w:val="32"/>
          <w:szCs w:val="32"/>
        </w:rPr>
        <w:t>绩效目标：提高农产品产量和产量，优化农业产业结构，提高经济效益，增加农民收入。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pStyle w:val="19"/>
        <w:rPr>
          <w:rFonts w:hint="eastAsia" w:ascii="仿宋" w:hAnsi="仿宋" w:eastAsia="仿宋" w:cs="仿宋"/>
          <w:sz w:val="32"/>
          <w:szCs w:val="32"/>
        </w:rPr>
      </w:pPr>
      <w:r>
        <w:rPr>
          <w:rFonts w:hint="eastAsia" w:ascii="仿宋" w:hAnsi="仿宋" w:eastAsia="仿宋" w:cs="仿宋"/>
          <w:sz w:val="32"/>
          <w:szCs w:val="32"/>
        </w:rPr>
        <w:t>绩效指标：1、良种补贴覆盖率85%；2、发放生活补贴及时准确无误，符合国家各项政策要求；3、设施安全隐患排查整治完成率85%；4、项目完工率85%。</w:t>
      </w:r>
    </w:p>
    <w:p>
      <w:pPr>
        <w:pStyle w:val="19"/>
        <w:rPr>
          <w:rFonts w:hint="eastAsia" w:ascii="仿宋" w:hAnsi="仿宋" w:eastAsia="仿宋" w:cs="仿宋"/>
          <w:sz w:val="32"/>
          <w:szCs w:val="32"/>
        </w:rPr>
      </w:pPr>
      <w:r>
        <w:rPr>
          <w:rFonts w:hint="eastAsia" w:ascii="仿宋" w:hAnsi="仿宋" w:eastAsia="仿宋" w:cs="仿宋"/>
          <w:sz w:val="32"/>
          <w:szCs w:val="32"/>
        </w:rPr>
        <w:t>10、提高计生服务水平</w:t>
      </w:r>
    </w:p>
    <w:p>
      <w:pPr>
        <w:pStyle w:val="19"/>
        <w:rPr>
          <w:rFonts w:hint="eastAsia" w:ascii="仿宋" w:hAnsi="仿宋" w:eastAsia="仿宋" w:cs="仿宋"/>
          <w:sz w:val="32"/>
          <w:szCs w:val="32"/>
        </w:rPr>
      </w:pPr>
      <w:r>
        <w:rPr>
          <w:rFonts w:hint="eastAsia" w:ascii="仿宋" w:hAnsi="仿宋" w:eastAsia="仿宋" w:cs="仿宋"/>
          <w:sz w:val="32"/>
          <w:szCs w:val="32"/>
        </w:rPr>
        <w:t>绩效目标：稳定适度的低生育水平，有效保证计划生育家庭生活水平，强化计划生育家庭幸福感，提高妇女生殖健康水平，降低出生缺陷的发生，保障基层计生队伍稳定提高计生人员素质，高效完成计划生育工作。</w:t>
      </w:r>
    </w:p>
    <w:p>
      <w:pPr>
        <w:pStyle w:val="19"/>
        <w:rPr>
          <w:rFonts w:hint="eastAsia" w:ascii="仿宋" w:hAnsi="仿宋" w:eastAsia="仿宋" w:cs="仿宋"/>
          <w:sz w:val="32"/>
          <w:szCs w:val="32"/>
        </w:rPr>
      </w:pPr>
      <w:r>
        <w:rPr>
          <w:rFonts w:hint="eastAsia" w:ascii="仿宋" w:hAnsi="仿宋" w:eastAsia="仿宋" w:cs="仿宋"/>
          <w:sz w:val="32"/>
          <w:szCs w:val="32"/>
        </w:rPr>
        <w:t>绩效指标：1、计划生育家庭特别扶助政策落实率100%；2、农村部分计划生育家庭奖励扶助政策落实率100%；3、女性生殖系统疾病降低率明显。</w:t>
      </w:r>
    </w:p>
    <w:p>
      <w:pPr>
        <w:pStyle w:val="19"/>
        <w:rPr>
          <w:rFonts w:hint="eastAsia" w:ascii="仿宋" w:hAnsi="仿宋" w:eastAsia="仿宋" w:cs="仿宋"/>
          <w:sz w:val="32"/>
          <w:szCs w:val="32"/>
        </w:rPr>
      </w:pPr>
      <w:r>
        <w:rPr>
          <w:rFonts w:hint="eastAsia" w:ascii="仿宋" w:hAnsi="仿宋" w:eastAsia="仿宋" w:cs="仿宋"/>
          <w:sz w:val="32"/>
          <w:szCs w:val="32"/>
        </w:rPr>
        <w:t>11、提高政府执政业务</w:t>
      </w:r>
    </w:p>
    <w:p>
      <w:pPr>
        <w:pStyle w:val="19"/>
        <w:rPr>
          <w:rFonts w:hint="eastAsia" w:ascii="仿宋" w:hAnsi="仿宋" w:eastAsia="仿宋" w:cs="仿宋"/>
          <w:sz w:val="32"/>
          <w:szCs w:val="32"/>
        </w:rPr>
      </w:pPr>
      <w:r>
        <w:rPr>
          <w:rFonts w:hint="eastAsia" w:ascii="仿宋" w:hAnsi="仿宋" w:eastAsia="仿宋" w:cs="仿宋"/>
          <w:sz w:val="32"/>
          <w:szCs w:val="32"/>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w:t>
      </w:r>
      <w:r>
        <w:rPr>
          <w:rFonts w:hint="eastAsia" w:ascii="仿宋" w:hAnsi="仿宋" w:eastAsia="仿宋" w:cs="仿宋"/>
          <w:sz w:val="32"/>
          <w:szCs w:val="32"/>
          <w:lang w:eastAsia="zh-CN"/>
        </w:rPr>
        <w:t>单位</w:t>
      </w:r>
      <w:r>
        <w:rPr>
          <w:rFonts w:hint="eastAsia" w:ascii="仿宋" w:hAnsi="仿宋" w:eastAsia="仿宋" w:cs="仿宋"/>
          <w:sz w:val="32"/>
          <w:szCs w:val="32"/>
        </w:rPr>
        <w:t>排查、化解影响社会稳定的重大不稳定隐患、群体性事件和突发事件。落实消防安全措施，防止火灾的发生。文化发展环境健康向上，文化发展能力不断增强，公共文化服务不断提高。提升公共设施水平，提高公共服务能力。</w:t>
      </w:r>
    </w:p>
    <w:p>
      <w:pPr>
        <w:pStyle w:val="19"/>
        <w:rPr>
          <w:rFonts w:hint="eastAsia" w:ascii="仿宋" w:hAnsi="仿宋" w:eastAsia="仿宋" w:cs="仿宋"/>
          <w:sz w:val="32"/>
          <w:szCs w:val="32"/>
        </w:rPr>
      </w:pPr>
      <w:r>
        <w:rPr>
          <w:rFonts w:hint="eastAsia" w:ascii="仿宋" w:hAnsi="仿宋" w:eastAsia="仿宋" w:cs="仿宋"/>
          <w:sz w:val="32"/>
          <w:szCs w:val="32"/>
        </w:rPr>
        <w:t>绩效指标：1、综合政务服务业务工作完成率90%；2、大气污染事故案件数低于3件；3、重点村改造提升完成率90%；4、越级信访案件数量低于3件；5、事故发生案件数低于1件；6、综合业务完成率90%。</w:t>
      </w:r>
    </w:p>
    <w:p>
      <w:pPr>
        <w:pStyle w:val="19"/>
        <w:rPr>
          <w:rFonts w:hint="eastAsia" w:ascii="仿宋" w:hAnsi="仿宋" w:eastAsia="仿宋" w:cs="仿宋"/>
          <w:sz w:val="32"/>
          <w:szCs w:val="32"/>
        </w:rPr>
      </w:pPr>
      <w:r>
        <w:rPr>
          <w:rFonts w:hint="eastAsia" w:ascii="仿宋" w:hAnsi="仿宋" w:eastAsia="仿宋" w:cs="仿宋"/>
          <w:sz w:val="32"/>
          <w:szCs w:val="32"/>
        </w:rPr>
        <w:t>12、加强综合执法工作力度</w:t>
      </w:r>
    </w:p>
    <w:p>
      <w:pPr>
        <w:pStyle w:val="19"/>
        <w:rPr>
          <w:rFonts w:hint="eastAsia" w:ascii="仿宋" w:hAnsi="仿宋" w:eastAsia="仿宋" w:cs="仿宋"/>
          <w:sz w:val="32"/>
          <w:szCs w:val="32"/>
        </w:rPr>
      </w:pPr>
      <w:r>
        <w:rPr>
          <w:rFonts w:hint="eastAsia" w:ascii="仿宋" w:hAnsi="仿宋" w:eastAsia="仿宋" w:cs="仿宋"/>
          <w:sz w:val="32"/>
          <w:szCs w:val="32"/>
        </w:rPr>
        <w:t>绩效目标：对镇域内违法建筑物的拆除、散乱污企业巡查、大气污染巡查及镇域内街道两侧治安，进一步加大监察力度。</w:t>
      </w:r>
    </w:p>
    <w:p>
      <w:pPr>
        <w:pStyle w:val="19"/>
        <w:rPr>
          <w:rFonts w:hint="eastAsia" w:ascii="仿宋" w:hAnsi="仿宋" w:eastAsia="仿宋" w:cs="仿宋"/>
          <w:sz w:val="32"/>
          <w:szCs w:val="32"/>
        </w:rPr>
      </w:pPr>
      <w:r>
        <w:rPr>
          <w:rFonts w:hint="eastAsia" w:ascii="仿宋" w:hAnsi="仿宋" w:eastAsia="仿宋" w:cs="仿宋"/>
          <w:sz w:val="32"/>
          <w:szCs w:val="32"/>
        </w:rPr>
        <w:t>绩效指标：1、违法案件查处完成率60%；2、社会稳定恶性事件发生率降低明显。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rPr>
          <w:rFonts w:hint="eastAsia" w:ascii="仿宋" w:hAnsi="仿宋" w:eastAsia="仿宋" w:cs="仿宋"/>
          <w:sz w:val="32"/>
          <w:szCs w:val="32"/>
        </w:rPr>
      </w:pPr>
      <w:r>
        <w:rPr>
          <w:rFonts w:hint="eastAsia" w:ascii="仿宋" w:hAnsi="仿宋" w:eastAsia="仿宋" w:cs="仿宋"/>
          <w:sz w:val="32"/>
          <w:szCs w:val="32"/>
        </w:rPr>
        <w:t>一、抓重点、带全局，确保经济稳步发展。一是经济指标稳步提高。2022年，我们继续以经济建设为中心，不断转变经济发展方式，强化发展理念，加大投资力度，落实优惠政策，完善发展环境，确保全镇经济实现了又好又快发展。二是经济结构不断优化。充分依托紧邻北京、燕郊经济开发区以及交通便利的优势，积极引导企业发挥自身优势，加快转型发展。全镇经济呈现经济结构不断优化，发展水平不断提高的良好环境</w:t>
      </w:r>
    </w:p>
    <w:p>
      <w:pPr>
        <w:pStyle w:val="20"/>
        <w:rPr>
          <w:rFonts w:hint="eastAsia" w:ascii="仿宋" w:hAnsi="仿宋" w:eastAsia="仿宋" w:cs="仿宋"/>
          <w:sz w:val="32"/>
          <w:szCs w:val="32"/>
        </w:rPr>
      </w:pPr>
      <w:r>
        <w:rPr>
          <w:rFonts w:hint="eastAsia" w:ascii="仿宋" w:hAnsi="仿宋" w:eastAsia="仿宋" w:cs="仿宋"/>
          <w:sz w:val="32"/>
          <w:szCs w:val="32"/>
        </w:rPr>
        <w:t>二、强基础，惠民生，社会保障逐步完善。我们始终把为人民服务作为第一宗旨，以群众需求为第一信号，以群众满意为第一目标，不断加大民生工作推进力度，千方百计改善民生，全力以赴促进民生。</w:t>
      </w:r>
    </w:p>
    <w:p>
      <w:pPr>
        <w:pStyle w:val="20"/>
        <w:rPr>
          <w:rFonts w:hint="eastAsia" w:ascii="仿宋" w:hAnsi="仿宋" w:eastAsia="仿宋" w:cs="仿宋"/>
          <w:sz w:val="32"/>
          <w:szCs w:val="32"/>
        </w:rPr>
      </w:pPr>
      <w:r>
        <w:rPr>
          <w:rFonts w:hint="eastAsia" w:ascii="仿宋" w:hAnsi="仿宋" w:eastAsia="仿宋" w:cs="仿宋"/>
          <w:sz w:val="32"/>
          <w:szCs w:val="32"/>
        </w:rPr>
        <w:t>三、治污染、优环境，镇村面貌大幅提升。一是散乱污企业整治工作扎实推进。为了遏制“散乱污”企业滋生、反弹，镇环保所、综合执法中队每天对域内企业进行不间断巡查，防止已关停取缔的“散乱污”企业死灰复燃，对新生“散乱污”企业，果断采取“两断、三清”，扼制其滋长的苗头，时刻保持“散乱污”企业整治高压态势。二是环境污染综合治理有效开展。全力推进秸秆禁烧、垃圾禁烧工作，并通过村街广播不间断进行宣传，营造全社会广泛参与、农民群众自觉行动的禁烧氛围。同时，每个村街安排秸秆禁烧巡查员，每天不间断进行巡查，发现火情及时劝阻处理。通过清理垃圾、封堵排污口加装隔离网和警示牌等工作，深入开展渗坑治理工作。三是植树造林工作稳步推进。坚持超前谋划，主动作为，抢抓时机，借势推动。四是河渠清理效果明显。制定了河渠名录，分级公示镇、村河长信息，并按照市河长办相关要求，从河道违建、排污口封堵、垃圾清理、非法采砂、黑臭水体五个方面进行排查与整治，实现河道无垃圾、污水无直排、水域无障碍、堤岸无损毁、沿岸无违建、两侧无树障。五是农村环境卫生整治成效显著。各村街全力推进农村垃圾集中清理行动，集中力量对村内侵街占道、乱堆乱放和卫生死角进行清理，环卫公司负责对燕灵路两侧、集贸市场等公共区域进行清理，镇村环境得到明显改善。</w:t>
      </w:r>
    </w:p>
    <w:p>
      <w:pPr>
        <w:pStyle w:val="20"/>
        <w:rPr>
          <w:rFonts w:hint="eastAsia" w:ascii="仿宋" w:hAnsi="仿宋" w:eastAsia="仿宋" w:cs="仿宋"/>
          <w:sz w:val="32"/>
          <w:szCs w:val="32"/>
        </w:rPr>
      </w:pPr>
      <w:r>
        <w:rPr>
          <w:rFonts w:hint="eastAsia" w:ascii="仿宋" w:hAnsi="仿宋" w:eastAsia="仿宋" w:cs="仿宋"/>
          <w:sz w:val="32"/>
          <w:szCs w:val="32"/>
        </w:rPr>
        <w:t>四、保稳定，促和谐，社会管理逐步完善。一是信访调处水平不断提高。顺利完成冬奥会，冬残奥会，全国“两会”等重要事件节点的安保任务。建立健全了镇级综治中心，配齐办公设备，工作制度健全并上墙。充分发挥村级综治网格员作用，现固提高“中心+网格化+信息化”的成效。完善了领导约访、开门接访、带案下访、限时结访四项工作机制，主动化解矛盾隐患，全力维护社会稳定，信访调处水平和成效不断提高。二是安全生产形势运行良好。镇安全生产委员会每月召集村街安全员、学校校长和企业负责人参加安全生产培训会，强化安全生产责任意识，增强了抓安全生产工作的积极性和责任心，并将安全生产纳入年终考核，形成了主要领导亲自抓、分管领导具体抓，形成了党政同责，“一岗双责”的良好局面。三是气代煤安全运营深入推进。扎实开展“三查、三送、三提升”活动，充分发挥安全协管员的作用，深入排查气代煤工程中存在的安全隐患。切实抓住清煤、拆、通风等关键点，做到“真改、实改”，确保消防各类隐患。对村内独居老人、精神智力障码患者进行了一次全面排查，合理确定供暖方式，签帮扶管护协议，逐一排查供电线路老化问题，统一进行整改，确保群众都能够按时供暖，安全过冬，温暖过冬。四是新冠肺炎疫情防控，采取多渠道宣传新冠疫情防控工作，确保将疫情隔离在镇域之外。</w:t>
      </w:r>
    </w:p>
    <w:p>
      <w:pPr>
        <w:pStyle w:val="20"/>
        <w:rPr>
          <w:rFonts w:hint="eastAsia" w:ascii="仿宋" w:hAnsi="仿宋" w:eastAsia="仿宋" w:cs="仿宋"/>
          <w:sz w:val="32"/>
          <w:szCs w:val="32"/>
        </w:rPr>
      </w:pPr>
      <w:r>
        <w:rPr>
          <w:rFonts w:hint="eastAsia" w:ascii="仿宋" w:hAnsi="仿宋" w:eastAsia="仿宋" w:cs="仿宋"/>
          <w:sz w:val="32"/>
          <w:szCs w:val="32"/>
        </w:rPr>
        <w:t>五、扬正气、树新风，廉政建设取得实效。我镇严格贯彻执行党风廉政建设责任制各项规定，全面落实党风政建设主体责任，镇党委书记是第一责任人，做到廉政建设重要工作亲自部署，重大问题亲自过问，重点环节亲自协调，重要案件亲自督办，充分发挥纪委监督责任，协助党委落实党风廉政建设主体责任，狠抓监督检查。一是严格教育。坚持把把党风廉政教育作为加强自身建设的重要环节来抓，通过日常学习中央和上级党委关于党风廉政建设的相关文件，剖析各方面典型案例，切实增强做好党风廉政建设的主动性、自觉性。同时，不断强化党性党风教育，使广大党员干部进一步树立正确的世界观、人生观、价值观，切实坚定理想信念，真正做到防微杜渐，从而在思想上筑起一道攻不破的廉政防线。二是严格管理。根据工作分工调整充实了镇党风廉政建设工作领导小组，全面加强对党风廉政建设的组织领导，特别是按照“一岗双责”的要求，把党风廉政建设与业务工作同部署、同落实、同检查同考核。在此基础上，将党风廉政建设和反腐倡廉工作任务进一步细化、量化，分解落实到各</w:t>
      </w:r>
      <w:r>
        <w:rPr>
          <w:rFonts w:hint="eastAsia" w:ascii="仿宋" w:hAnsi="仿宋" w:eastAsia="仿宋" w:cs="仿宋"/>
          <w:sz w:val="32"/>
          <w:szCs w:val="32"/>
          <w:lang w:eastAsia="zh-CN"/>
        </w:rPr>
        <w:t>单位</w:t>
      </w:r>
      <w:r>
        <w:rPr>
          <w:rFonts w:hint="eastAsia" w:ascii="仿宋" w:hAnsi="仿宋" w:eastAsia="仿宋" w:cs="仿宋"/>
          <w:sz w:val="32"/>
          <w:szCs w:val="32"/>
        </w:rPr>
        <w:t>，形成一级抓一级、一级促一级、层层抓落实的良好格局。同时，制定完善了廉政建设、民主生活会、民主议事等一系列规章制度，通过制度约束，真正做到变责任为压力、变压力为执行力。三是严格检查。为确保党风廉政建设落到实处，坚持把监督检查贯穿工作的始终，重点检查廉政教育是否深入、各项制度是否落实、廉洁自律是否到位，以及政务、党务公开执行情况、“热点”、“焦点”问题处理情况，及时发现问题，果断纠正解决，确保令行禁止。</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955" w:type="dxa"/>
        <w:jc w:val="center"/>
        <w:tblInd w:w="-1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11"/>
        <w:gridCol w:w="585"/>
        <w:gridCol w:w="2160"/>
        <w:gridCol w:w="958"/>
        <w:gridCol w:w="2607"/>
        <w:gridCol w:w="560"/>
        <w:gridCol w:w="343"/>
        <w:gridCol w:w="675"/>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611"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一级指标</w:t>
            </w:r>
          </w:p>
        </w:tc>
        <w:tc>
          <w:tcPr>
            <w:tcW w:w="585" w:type="dxa"/>
            <w:vMerge w:val="restart"/>
            <w:tcBorders>
              <w:tl2br w:val="nil"/>
              <w:tr2bl w:val="nil"/>
            </w:tcBorders>
            <w:vAlign w:val="center"/>
          </w:tcPr>
          <w:p>
            <w:pPr>
              <w:pStyle w:val="14"/>
              <w:jc w:val="left"/>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二级</w:t>
            </w:r>
          </w:p>
          <w:p>
            <w:pPr>
              <w:pStyle w:val="14"/>
              <w:jc w:val="left"/>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w:t>
            </w:r>
          </w:p>
        </w:tc>
        <w:tc>
          <w:tcPr>
            <w:tcW w:w="2160"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三级</w:t>
            </w:r>
          </w:p>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w:t>
            </w:r>
          </w:p>
        </w:tc>
        <w:tc>
          <w:tcPr>
            <w:tcW w:w="958"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评（扣）分标准</w:t>
            </w:r>
          </w:p>
        </w:tc>
        <w:tc>
          <w:tcPr>
            <w:tcW w:w="2607"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绩效指标</w:t>
            </w:r>
          </w:p>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描述</w:t>
            </w:r>
          </w:p>
        </w:tc>
        <w:tc>
          <w:tcPr>
            <w:tcW w:w="1578" w:type="dxa"/>
            <w:gridSpan w:val="3"/>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指标值</w:t>
            </w:r>
          </w:p>
        </w:tc>
        <w:tc>
          <w:tcPr>
            <w:tcW w:w="4456"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指标值</w:t>
            </w:r>
          </w:p>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585" w:type="dxa"/>
            <w:vMerge w:val="continue"/>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p>
        </w:tc>
        <w:tc>
          <w:tcPr>
            <w:tcW w:w="2160" w:type="dxa"/>
            <w:vMerge w:val="continue"/>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p>
        </w:tc>
        <w:tc>
          <w:tcPr>
            <w:tcW w:w="958"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2607"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560" w:type="dxa"/>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符号</w:t>
            </w:r>
          </w:p>
        </w:tc>
        <w:tc>
          <w:tcPr>
            <w:tcW w:w="343" w:type="dxa"/>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值</w:t>
            </w:r>
          </w:p>
        </w:tc>
        <w:tc>
          <w:tcPr>
            <w:tcW w:w="675" w:type="dxa"/>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单位</w:t>
            </w:r>
          </w:p>
        </w:tc>
        <w:tc>
          <w:tcPr>
            <w:tcW w:w="4456"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611"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单位产出</w:t>
            </w:r>
          </w:p>
        </w:tc>
        <w:tc>
          <w:tcPr>
            <w:tcW w:w="585" w:type="dxa"/>
            <w:tcBorders>
              <w:tl2br w:val="nil"/>
              <w:tr2bl w:val="nil"/>
            </w:tcBorders>
            <w:vAlign w:val="center"/>
          </w:tcPr>
          <w:p>
            <w:pPr>
              <w:pStyle w:val="14"/>
              <w:jc w:val="left"/>
              <w:rPr>
                <w:rFonts w:hint="default"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数量指标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保证机关正常运转天数</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20</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保证机关正常运转天数</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365</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天</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869"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质量指标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完成上级交办各项工作合格率</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20</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完成上级交办各项工作合格率</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854"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时效指标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完成上级交办各项工作及时率</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完成上级交办各项工作及时率</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成本指标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机关办公用电成本</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机关办公用电成本</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0.53</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元/度</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611"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单位效果</w:t>
            </w: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社会</w:t>
            </w:r>
          </w:p>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效益指标</w:t>
            </w:r>
          </w:p>
        </w:tc>
        <w:tc>
          <w:tcPr>
            <w:tcW w:w="2160"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机关工作人员政策知晓率</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机关工作人员政策知晓率</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抽样调查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满意度指标</w:t>
            </w:r>
          </w:p>
        </w:tc>
        <w:tc>
          <w:tcPr>
            <w:tcW w:w="2160" w:type="dxa"/>
            <w:tcBorders>
              <w:tl2br w:val="nil"/>
              <w:tr2bl w:val="nil"/>
            </w:tcBorders>
            <w:noWrap/>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机关工作人员满意度</w:t>
            </w:r>
          </w:p>
        </w:tc>
        <w:tc>
          <w:tcPr>
            <w:tcW w:w="958" w:type="dxa"/>
            <w:tcBorders>
              <w:tl2br w:val="nil"/>
              <w:tr2bl w:val="nil"/>
            </w:tcBorders>
            <w:noWrap/>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noWrap/>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机关工作人员满意度</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抽样调查</w:t>
            </w:r>
          </w:p>
        </w:tc>
      </w:tr>
    </w:tbl>
    <w:p>
      <w:pPr>
        <w:spacing w:line="584" w:lineRule="exact"/>
        <w:rPr>
          <w:rFonts w:hint="eastAsia" w:asciiTheme="minorEastAsia" w:hAnsiTheme="minorEastAsia" w:eastAsiaTheme="minorEastAsia" w:cstheme="minorEastAsia"/>
          <w:sz w:val="24"/>
          <w:szCs w:val="24"/>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725"/>
        <w:gridCol w:w="2325"/>
        <w:gridCol w:w="3390"/>
        <w:gridCol w:w="1410"/>
        <w:gridCol w:w="3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0" w:hRule="atLeast"/>
          <w:tblHeader/>
          <w:jc w:val="center"/>
        </w:trPr>
        <w:tc>
          <w:tcPr>
            <w:tcW w:w="1513" w:type="dxa"/>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绩效目标</w:t>
            </w:r>
          </w:p>
        </w:tc>
        <w:tc>
          <w:tcPr>
            <w:tcW w:w="12549" w:type="dxa"/>
            <w:gridSpan w:val="5"/>
            <w:shd w:val="clear" w:color="auto" w:fill="auto"/>
            <w:vAlign w:val="center"/>
          </w:tcPr>
          <w:p>
            <w:pPr>
              <w:spacing w:line="300" w:lineRule="exact"/>
              <w:rPr>
                <w:rFonts w:hint="eastAsia" w:ascii="仿宋" w:hAnsi="仿宋" w:eastAsia="仿宋" w:cs="仿宋"/>
                <w:b w:val="0"/>
                <w:bCs/>
              </w:rPr>
            </w:pPr>
            <w:r>
              <w:rPr>
                <w:rFonts w:hint="eastAsia" w:ascii="仿宋" w:hAnsi="仿宋" w:eastAsia="仿宋" w:cs="仿宋"/>
                <w:b w:val="0"/>
                <w:bCs/>
              </w:rPr>
              <w:t>1.通过该项目资金投入，加强安全生产培训、宣传，加强安全生产巡察、监督、管理，将安全生产事故数量、伤亡人数控制在上级下达的指标范围。2.安全有效地使用的专项资金。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2" w:hRule="atLeast"/>
          <w:tblHeader/>
          <w:jc w:val="center"/>
        </w:trPr>
        <w:tc>
          <w:tcPr>
            <w:tcW w:w="1513" w:type="dxa"/>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一级指标</w:t>
            </w:r>
          </w:p>
        </w:tc>
        <w:tc>
          <w:tcPr>
            <w:tcW w:w="1725"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二级指标</w:t>
            </w:r>
          </w:p>
        </w:tc>
        <w:tc>
          <w:tcPr>
            <w:tcW w:w="2325"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三级指标</w:t>
            </w:r>
          </w:p>
        </w:tc>
        <w:tc>
          <w:tcPr>
            <w:tcW w:w="3390"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绩效指标描述</w:t>
            </w:r>
          </w:p>
        </w:tc>
        <w:tc>
          <w:tcPr>
            <w:tcW w:w="1410"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指标值</w:t>
            </w:r>
          </w:p>
        </w:tc>
        <w:tc>
          <w:tcPr>
            <w:tcW w:w="3699"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1513" w:type="dxa"/>
            <w:vMerge w:val="restart"/>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产出指标</w:t>
            </w: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数量指标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执行排查治理次数</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安全生产培训宣传、安全生产隐患排查治理次数</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4次</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质量指标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安全生产工作覆盖面</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安全生产工作在镇域内覆盖率</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≥95%</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时效指标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企业安全生产排查频度</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年进驻企业进行安全生产排查频度</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4次</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9"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成本指标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单价成本</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办公用纸单价成本</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≤220元/箱</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513" w:type="dxa"/>
            <w:vMerge w:val="restart"/>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效果指标</w:t>
            </w: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可持续影响指标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持续期限</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持续期限</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1年</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spacing w:line="300" w:lineRule="exact"/>
              <w:jc w:val="center"/>
              <w:rPr>
                <w:rFonts w:ascii="Times New Roman" w:hAnsi="Times New Roman" w:eastAsia="仿宋_GB2312" w:cs="Times New Roman"/>
                <w:b/>
                <w:bCs w:val="0"/>
              </w:rPr>
            </w:pP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经济效益指标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经济发展</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促进域内企业经济发展</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促进域内企业经济发展</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spacing w:line="300" w:lineRule="exact"/>
              <w:jc w:val="center"/>
              <w:rPr>
                <w:rFonts w:ascii="Times New Roman" w:hAnsi="Times New Roman" w:eastAsia="仿宋_GB2312" w:cs="Times New Roman"/>
                <w:b/>
                <w:bCs w:val="0"/>
              </w:rPr>
            </w:pP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社会效益指标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群众政策知晓度</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群众政策知晓度</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群众政策知晓度</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生态效益指标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节能减排</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节能减排效果</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促进企业节能减排</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满意度指标</w:t>
            </w: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服务对象满意度指标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服务群众满意度</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服务群众满意度</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群众满意度</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抽样调查</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2.财税管理专项资金绩效目标表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8"/>
        <w:gridCol w:w="1515"/>
        <w:gridCol w:w="1740"/>
        <w:gridCol w:w="3690"/>
        <w:gridCol w:w="1470"/>
        <w:gridCol w:w="4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2" w:hRule="atLeast"/>
          <w:tblHeader/>
          <w:jc w:val="center"/>
        </w:trPr>
        <w:tc>
          <w:tcPr>
            <w:tcW w:w="13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4" w:type="dxa"/>
            <w:gridSpan w:val="5"/>
            <w:shd w:val="clear" w:color="auto" w:fill="auto"/>
            <w:vAlign w:val="center"/>
          </w:tcPr>
          <w:p>
            <w:pPr>
              <w:spacing w:line="300" w:lineRule="exact"/>
              <w:rPr>
                <w:rFonts w:hint="eastAsia" w:ascii="仿宋" w:hAnsi="仿宋" w:eastAsia="仿宋" w:cs="仿宋"/>
                <w:b/>
              </w:rPr>
            </w:pPr>
            <w:r>
              <w:rPr>
                <w:rFonts w:hint="eastAsia" w:ascii="仿宋" w:hAnsi="仿宋" w:eastAsia="仿宋" w:cs="仿宋"/>
                <w:b/>
              </w:rPr>
              <w:t>通过该项费用的支出，使得域内招商引资工作落实更加到位。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7" w:hRule="atLeast"/>
          <w:tblHeader/>
          <w:jc w:val="center"/>
        </w:trPr>
        <w:tc>
          <w:tcPr>
            <w:tcW w:w="13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740"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690"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470"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426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4" w:hRule="atLeast"/>
          <w:jc w:val="center"/>
        </w:trPr>
        <w:tc>
          <w:tcPr>
            <w:tcW w:w="137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宣传次数</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b w:val="0"/>
                <w:bCs/>
                <w:kern w:val="2"/>
                <w:sz w:val="21"/>
                <w:szCs w:val="22"/>
                <w:lang w:val="en-US" w:eastAsia="zh-CN" w:bidi="ar-SA"/>
              </w:rPr>
              <w:t>公开网站发布镇级经济文化宣传信息次数</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≥10次</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4"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税收任务完成率</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税收任务完成率</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9"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预算资金到位率</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预算资金到位率</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单位成本</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办公用纸单位成本</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≤220元/箱</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37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经济效益指标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税收增长率</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税收增长率</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较上年增长</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4" w:hRule="atLeast"/>
          <w:jc w:val="center"/>
        </w:trPr>
        <w:tc>
          <w:tcPr>
            <w:tcW w:w="137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政策知晓度</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企业相关政策知晓度</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生态效益指标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节能环保减排</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节能环保减排</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明显改善</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7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服务企业的满意度</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黑体" w:cs="Times New Roman"/>
          <w:color w:val="FF0000"/>
          <w:sz w:val="44"/>
          <w:szCs w:val="44"/>
          <w:lang w:val="en-US" w:eastAsia="zh-C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村级组织运转经费绩效目标表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 w:hAnsi="仿宋" w:eastAsia="仿宋" w:cs="仿宋"/>
              </w:rPr>
            </w:pPr>
            <w:r>
              <w:rPr>
                <w:rFonts w:hint="eastAsia" w:ascii="仿宋" w:hAnsi="仿宋" w:eastAsia="仿宋" w:cs="仿宋"/>
              </w:rPr>
              <w:t>1.用于支付在职村干部工资以及离任村干部生活补贴。</w:t>
            </w:r>
          </w:p>
          <w:p>
            <w:pPr>
              <w:pStyle w:val="14"/>
              <w:rPr>
                <w:rFonts w:hint="eastAsia" w:ascii="仿宋" w:hAnsi="仿宋" w:eastAsia="仿宋" w:cs="仿宋"/>
              </w:rPr>
            </w:pPr>
            <w:r>
              <w:rPr>
                <w:rFonts w:hint="eastAsia" w:ascii="仿宋" w:hAnsi="仿宋" w:eastAsia="仿宋" w:cs="仿宋"/>
              </w:rPr>
              <w:t>2.用于支付下派村干部工作经费。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二级指标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三级指标</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绩效指标描述</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村街数量</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涉及经费村街数量</w:t>
            </w:r>
          </w:p>
          <w:p>
            <w:pPr>
              <w:pStyle w:val="14"/>
              <w:rPr>
                <w:rFonts w:hint="eastAsia" w:ascii="仿宋" w:hAnsi="仿宋" w:eastAsia="仿宋" w:cs="仿宋"/>
              </w:rPr>
            </w:pP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37个</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村委会正常运转比例</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正常工作天数占总天数的比例</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各项经费按时发放</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各项经费按时发放占全部应发放的比例</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预算控制数</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书记主任“一人兼”年工资成本</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≤6.27万元</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可持续影响指标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1年</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增加收入</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领取经费人员家庭收入增加</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较上年有所提高</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生态效益指标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节能减排</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节能减排效果</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较上年明显</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hint="eastAsia" w:ascii="Times New Roman" w:hAnsi="Times New Roman" w:eastAsia="黑体" w:cs="Times New Roman"/>
          <w:color w:val="FF0000"/>
          <w:sz w:val="44"/>
          <w:szCs w:val="44"/>
          <w:lang w:val="en-US" w:eastAsia="zh-CN"/>
        </w:rPr>
      </w:pPr>
      <w:r>
        <w:rPr>
          <w:rFonts w:hint="eastAsia" w:ascii="Times New Roman" w:hAnsi="Times New Roman" w:eastAsia="仿宋_GB2312" w:cs="Times New Roman"/>
          <w:sz w:val="28"/>
          <w:lang w:val="en-US" w:eastAsia="zh-CN"/>
        </w:rPr>
        <w:t>4.档案业务经费绩效目标表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 w:hAnsi="仿宋" w:eastAsia="仿宋" w:cs="仿宋"/>
              </w:rPr>
            </w:pPr>
            <w:r>
              <w:rPr>
                <w:rFonts w:hint="eastAsia" w:ascii="仿宋" w:hAnsi="仿宋" w:eastAsia="仿宋" w:cs="仿宋"/>
              </w:rPr>
              <w:t>通过该项资金支出，确保单位档案整齐有序，查阅高效便捷。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二级指标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三级指标</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绩效指标描述</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档案管理涉及科室数量</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档案管理涉及科室数量</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8个</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档案规整验收合格率</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档案规整验收合格率</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档案规整及时性</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档案规整期限</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≤1年</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4"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档案组柜单价</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档案组柜单价</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≤600元</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政策知晓度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档案使用人员政策知晓度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档案使用人员满意度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档案使用人员满意度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hint="eastAsia" w:ascii="Times New Roman" w:hAnsi="Times New Roman" w:eastAsia="仿宋_GB2312" w:cs="Times New Roman"/>
          <w:sz w:val="28"/>
          <w:lang w:val="en-US" w:eastAsia="zh-CN"/>
        </w:rPr>
      </w:pPr>
      <w:bookmarkStart w:id="1" w:name="_Toc_4_4_0000000008"/>
      <w:r>
        <w:rPr>
          <w:rFonts w:hint="eastAsia" w:ascii="Times New Roman" w:hAnsi="Times New Roman" w:eastAsia="仿宋_GB2312" w:cs="Times New Roman"/>
          <w:sz w:val="28"/>
          <w:lang w:val="en-US" w:eastAsia="zh-CN"/>
        </w:rPr>
        <w:t>5.服务群众专项经费绩效目标表</w:t>
      </w:r>
      <w:bookmarkEnd w:id="1"/>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1.通过支付该项资金，解决村级正常运转及基础设施维护费，提高村级公共服务保障水平，改善农村生活条件，加快城乡一体化进程。</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2.通过项目的开展使得镇域内农村生活环境和基础设施得到改善，使得居民生活幸福指数提升。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惠及村街</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保障村街个数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37个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资金支付安全性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安全支付资金占全部支出资金的比例</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资金发放频度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年资金发放频度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村街临时用工成本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村街临时用工成本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≤200元/天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5"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补充村级正常运转及基础设施维护费，更好为村集体创收</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效果明显</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5"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效果明显</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9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服务群众满意度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服务群众满意度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jc w:val="left"/>
        <w:outlineLvl w:val="1"/>
        <w:rPr>
          <w:rFonts w:hint="eastAsia" w:ascii="Times New Roman" w:hAnsi="Times New Roman" w:eastAsia="仿宋_GB2312" w:cs="Times New Roman"/>
          <w:sz w:val="28"/>
          <w:lang w:val="en-US" w:eastAsia="zh-CN"/>
        </w:rPr>
      </w:pPr>
      <w:bookmarkStart w:id="2" w:name="_Toc_4_4_0000000009"/>
      <w:r>
        <w:rPr>
          <w:rFonts w:hint="eastAsia" w:ascii="Times New Roman" w:hAnsi="Times New Roman" w:eastAsia="仿宋_GB2312" w:cs="Times New Roman"/>
          <w:sz w:val="28"/>
          <w:lang w:val="en-US" w:eastAsia="zh-CN"/>
        </w:rPr>
        <w:t>6.辅助性岗位专项经费绩效目标表</w:t>
      </w:r>
      <w:bookmarkEnd w:id="2"/>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1.通过对辅助性岗位人员工资及保险的发放,提高了生活水平,增强了辅岗人员工作干劲.</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2.通过支付该笔资金，保证辅助性岗位工作人员的工资及各项保险。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安排退役军人人数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安排退役军人人数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工作任务完成率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完成交办的任务占交办的任务比例</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资金发放频度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年资金发放频度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医保缴费基数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6383元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增加收入</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增加辅岗人员的家庭收入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较上年增加</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有所提高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群众满意度指标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仿宋_GB2312" w:cs="Times New Roman"/>
          <w:sz w:val="28"/>
          <w:lang w:val="en-US" w:eastAsia="zh-CN"/>
        </w:rPr>
      </w:pPr>
      <w:bookmarkStart w:id="3" w:name="_Toc_4_4_0000000010"/>
      <w:r>
        <w:rPr>
          <w:rFonts w:ascii="方正仿宋_GBK" w:hAnsi="方正仿宋_GBK" w:eastAsia="方正仿宋_GBK" w:cs="方正仿宋_GBK"/>
          <w:color w:val="000000"/>
          <w:sz w:val="28"/>
        </w:rPr>
        <w:t>7.</w:t>
      </w:r>
      <w:r>
        <w:rPr>
          <w:rFonts w:hint="eastAsia" w:ascii="Times New Roman" w:hAnsi="Times New Roman" w:eastAsia="仿宋_GB2312" w:cs="Times New Roman"/>
          <w:sz w:val="28"/>
          <w:lang w:val="en-US" w:eastAsia="zh-CN"/>
        </w:rPr>
        <w:t>绿化造林经费绩效目标表</w:t>
      </w:r>
      <w:bookmarkEnd w:id="3"/>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1.2014年以来，根据根据自主造林签订合同及验收合格亩数，拨付自主造林林木管护资金。</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2.通过支付该项该笔资金，使得补贴及时发放到位，更好调动造林积极性，使域内空气环境得到改善。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亩数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造林面积</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1700亩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成活率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成活数量占自主造林总数的比例</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发放频度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年租金发放频度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土地租金单位成本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1500元/年/亩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经济收益</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出租土地的农户经济收入增加</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保障经济和谐发展</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改善生态环境质量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改善生态环境质量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有所改进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自主造林户满意度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被调查自主造林户满意和较满意户数占全部被调查户数的比率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8.农村独生子女父母奖励金绩效目标表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1.按时发放独生子女费。</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2.确保计划生育政策良好贯彻执行。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享受独生子女奖励人数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1439人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合规率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领取人数合规率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按时发放</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按时发放率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人均年标准</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120元/人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增加收入</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增加享受独生子女费人员收入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120元/年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明显提高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领取独生子女费人员满意度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领取独生子女费人员满意度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9.农村燃气协管员工资绩效目标表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1680"/>
        <w:gridCol w:w="1380"/>
        <w:gridCol w:w="2310"/>
        <w:gridCol w:w="1155"/>
        <w:gridCol w:w="6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0" w:hRule="atLeast"/>
          <w:tblHeader/>
          <w:jc w:val="center"/>
        </w:trPr>
        <w:tc>
          <w:tcPr>
            <w:tcW w:w="1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1.确保域内居民安全正常取暖、起居。</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2.按时发放燃气协管员工资。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7" w:hRule="atLeast"/>
          <w:tblHeader/>
          <w:jc w:val="center"/>
        </w:trPr>
        <w:tc>
          <w:tcPr>
            <w:tcW w:w="1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3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23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620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329" w:type="dxa"/>
            <w:vMerge w:val="restart"/>
            <w:shd w:val="clear" w:color="auto" w:fill="auto"/>
            <w:vAlign w:val="center"/>
          </w:tcPr>
          <w:p>
            <w:pPr>
              <w:pStyle w:val="14"/>
              <w:rPr>
                <w:rFonts w:hint="eastAsia" w:ascii="仿宋" w:hAnsi="仿宋" w:eastAsia="仿宋" w:cs="仿宋"/>
              </w:rPr>
            </w:pPr>
            <w:r>
              <w:rPr>
                <w:rFonts w:hint="eastAsia" w:ascii="仿宋" w:hAnsi="仿宋" w:eastAsia="仿宋" w:cs="仿宋"/>
              </w:rPr>
              <w:t>产出指标</w:t>
            </w: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人数</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领取协管员工资人数</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57人</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合规率</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领取人员身份合规率</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4"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按时发放</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按时发放率</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预算控制数</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人均年工资成本</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2万元</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vMerge w:val="restart"/>
            <w:shd w:val="clear" w:color="auto" w:fill="auto"/>
            <w:vAlign w:val="center"/>
          </w:tcPr>
          <w:p>
            <w:pPr>
              <w:pStyle w:val="14"/>
              <w:rPr>
                <w:rFonts w:hint="eastAsia" w:ascii="仿宋" w:hAnsi="仿宋" w:eastAsia="仿宋" w:cs="仿宋"/>
              </w:rPr>
            </w:pPr>
            <w:r>
              <w:rPr>
                <w:rFonts w:hint="eastAsia" w:ascii="仿宋" w:hAnsi="仿宋" w:eastAsia="仿宋" w:cs="仿宋"/>
              </w:rPr>
              <w:t>效果指标</w:t>
            </w: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可持续影响指标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1年</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经济效益指标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增加收入</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增加协管员人员收入</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2万元/年</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生态效益指标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无纸化办公率</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无纸化办公率</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明显提高</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shd w:val="clear" w:color="auto" w:fill="auto"/>
            <w:vAlign w:val="center"/>
          </w:tcPr>
          <w:p>
            <w:pPr>
              <w:pStyle w:val="14"/>
              <w:rPr>
                <w:rFonts w:hint="eastAsia" w:ascii="仿宋" w:hAnsi="仿宋" w:eastAsia="仿宋" w:cs="仿宋"/>
              </w:rPr>
            </w:pPr>
            <w:r>
              <w:rPr>
                <w:rFonts w:hint="eastAsia" w:ascii="仿宋" w:hAnsi="仿宋" w:eastAsia="仿宋" w:cs="仿宋"/>
              </w:rPr>
              <w:t>满意度指标</w:t>
            </w: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接受服务对象满意度</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接受服务对象满意度</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问卷调查</w:t>
            </w:r>
          </w:p>
        </w:tc>
      </w:tr>
    </w:tbl>
    <w:p>
      <w:pPr>
        <w:pStyle w:val="14"/>
        <w:rPr>
          <w:rFonts w:hint="eastAsia" w:ascii="仿宋" w:hAnsi="仿宋" w:eastAsia="仿宋" w:cs="仿宋"/>
          <w:lang w:val="en-US" w:eastAsia="zh-CN"/>
        </w:rPr>
      </w:pPr>
    </w:p>
    <w:p>
      <w:pPr>
        <w:widowControl/>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10.</w:t>
      </w:r>
      <w:r>
        <w:rPr>
          <w:rFonts w:ascii="方正仿宋_GBK" w:hAnsi="方正仿宋_GBK" w:eastAsia="方正仿宋_GBK" w:cs="方正仿宋_GBK"/>
          <w:color w:val="000000"/>
          <w:kern w:val="0"/>
          <w:sz w:val="28"/>
          <w:szCs w:val="24"/>
          <w:lang w:eastAsia="uk-UA"/>
        </w:rPr>
        <w:t>其他专项业务费绩效目标表</w:t>
      </w:r>
    </w:p>
    <w:tbl>
      <w:tblPr>
        <w:tblStyle w:val="8"/>
        <w:tblW w:w="1373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3"/>
        <w:gridCol w:w="2100"/>
        <w:gridCol w:w="1980"/>
        <w:gridCol w:w="3645"/>
        <w:gridCol w:w="1740"/>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41" w:hRule="atLeast"/>
          <w:tblHeader/>
          <w:jc w:val="center"/>
        </w:trPr>
        <w:tc>
          <w:tcPr>
            <w:tcW w:w="172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015" w:type="dxa"/>
            <w:gridSpan w:val="5"/>
            <w:shd w:val="clear" w:color="auto" w:fill="auto"/>
            <w:vAlign w:val="center"/>
          </w:tcPr>
          <w:p>
            <w:pPr>
              <w:pStyle w:val="14"/>
              <w:numPr>
                <w:ilvl w:val="0"/>
                <w:numId w:val="2"/>
              </w:numPr>
              <w:rPr>
                <w:rFonts w:hint="eastAsia" w:ascii="仿宋" w:hAnsi="仿宋" w:eastAsia="仿宋" w:cs="仿宋"/>
                <w:sz w:val="21"/>
                <w:szCs w:val="21"/>
              </w:rPr>
            </w:pPr>
            <w:r>
              <w:rPr>
                <w:rFonts w:hint="eastAsia" w:ascii="仿宋" w:hAnsi="仿宋" w:eastAsia="仿宋" w:cs="仿宋"/>
                <w:sz w:val="21"/>
                <w:szCs w:val="21"/>
              </w:rPr>
              <w:t>按合同约定支付华美占地补偿。</w:t>
            </w:r>
          </w:p>
          <w:p>
            <w:pPr>
              <w:pStyle w:val="14"/>
              <w:numPr>
                <w:ilvl w:val="0"/>
                <w:numId w:val="2"/>
              </w:numPr>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按合同约定支付科学城回迁楼租房费。</w:t>
            </w:r>
          </w:p>
          <w:p>
            <w:pPr>
              <w:pStyle w:val="14"/>
              <w:numPr>
                <w:ilvl w:val="0"/>
                <w:numId w:val="0"/>
              </w:numPr>
              <w:ind w:leftChars="0"/>
              <w:rPr>
                <w:rFonts w:hint="eastAsia" w:ascii="仿宋" w:hAnsi="仿宋" w:eastAsia="仿宋" w:cs="仿宋"/>
                <w:sz w:val="21"/>
                <w:szCs w:val="21"/>
              </w:rPr>
            </w:pPr>
            <w:r>
              <w:rPr>
                <w:rFonts w:hint="eastAsia" w:ascii="仿宋" w:hAnsi="仿宋" w:eastAsia="仿宋" w:cs="仿宋"/>
                <w:sz w:val="21"/>
                <w:szCs w:val="21"/>
              </w:rPr>
              <w:t>3.按合同约定支付荣家庄废弃油站租地费。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172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723"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涉及村街个数</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涉及村街个数</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4个</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按合同支付率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按合同支付率</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发放频度</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年租金发放频度</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1次</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资金成本</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土地租金单位成本</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1120元/年/亩</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723"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增加合同约定对方的经济收入</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按合同约定</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政策知晓度</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无纸化办公率</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有所提高</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2" w:hRule="atLeast"/>
          <w:jc w:val="center"/>
        </w:trPr>
        <w:tc>
          <w:tcPr>
            <w:tcW w:w="172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widowControl/>
        <w:spacing w:before="0" w:after="0"/>
        <w:jc w:val="left"/>
        <w:outlineLvl w:val="3"/>
        <w:rPr>
          <w:rFonts w:hint="eastAsia"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11.</w:t>
      </w:r>
      <w:r>
        <w:rPr>
          <w:rFonts w:ascii="方正仿宋_GBK" w:hAnsi="方正仿宋_GBK" w:eastAsia="方正仿宋_GBK" w:cs="方正仿宋_GBK"/>
          <w:color w:val="000000"/>
          <w:kern w:val="0"/>
          <w:sz w:val="28"/>
          <w:szCs w:val="24"/>
          <w:lang w:eastAsia="uk-UA"/>
        </w:rPr>
        <w:t>综合业务经费绩效目标表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89"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65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1.支付镇级运转所必需的办公费，印刷费，劳务费及委托业务费等。</w:t>
            </w:r>
          </w:p>
          <w:p>
            <w:pPr>
              <w:pStyle w:val="14"/>
              <w:rPr>
                <w:rFonts w:hint="eastAsia" w:ascii="仿宋" w:hAnsi="仿宋" w:eastAsia="仿宋" w:cs="仿宋"/>
                <w:sz w:val="21"/>
                <w:szCs w:val="21"/>
              </w:rPr>
            </w:pPr>
            <w:r>
              <w:rPr>
                <w:rFonts w:hint="eastAsia" w:ascii="仿宋" w:hAnsi="仿宋" w:eastAsia="仿宋" w:cs="仿宋"/>
                <w:sz w:val="21"/>
                <w:szCs w:val="21"/>
              </w:rPr>
              <w:t>2.保证村街基础设施运转正常。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运转天数</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机关正常运转天数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365天</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目标任务完成合格率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目标任务完成合格率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各项任务完成及时率（%）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各项任务完成及时率（%）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单位成本</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办公用纸单位成本</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≤220元/箱</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人均纯收入</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镇域内人均纯收入</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较上年提高</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节能减排效果</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较上年提高</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受益群众满意度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r>
        <w:rPr>
          <w:rFonts w:hint="eastAsia" w:ascii="方正仿宋_GBK" w:hAnsi="方正仿宋_GBK" w:eastAsia="方正仿宋_GBK" w:cs="方正仿宋_GBK"/>
          <w:color w:val="000000"/>
          <w:kern w:val="0"/>
          <w:sz w:val="28"/>
          <w:szCs w:val="24"/>
          <w:lang w:val="en-US" w:eastAsia="zh-CN"/>
        </w:rPr>
        <w:t>12.</w:t>
      </w:r>
      <w:r>
        <w:rPr>
          <w:rFonts w:ascii="方正仿宋_GBK" w:hAnsi="方正仿宋_GBK" w:eastAsia="方正仿宋_GBK" w:cs="方正仿宋_GBK"/>
          <w:color w:val="000000"/>
          <w:kern w:val="0"/>
          <w:sz w:val="28"/>
          <w:szCs w:val="24"/>
          <w:lang w:eastAsia="uk-UA"/>
        </w:rPr>
        <w:t>综合执法业务费绩效目标表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69"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65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1.支付综合执法人员工资及各项保险。</w:t>
            </w:r>
          </w:p>
          <w:p>
            <w:pPr>
              <w:pStyle w:val="14"/>
              <w:rPr>
                <w:rFonts w:hint="eastAsia" w:ascii="仿宋" w:hAnsi="仿宋" w:eastAsia="仿宋" w:cs="仿宋"/>
                <w:sz w:val="21"/>
                <w:szCs w:val="21"/>
              </w:rPr>
            </w:pPr>
            <w:r>
              <w:rPr>
                <w:rFonts w:hint="eastAsia" w:ascii="仿宋" w:hAnsi="仿宋" w:eastAsia="仿宋" w:cs="仿宋"/>
                <w:sz w:val="21"/>
                <w:szCs w:val="21"/>
              </w:rPr>
              <w:t>2.通过综合业务开展，保证域内生产生活正常进行。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7"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保障劳务派遣人员数量</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保障劳务派遣人员数量</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60人</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工作任务完成率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完成交办的任务占交办的任务比例</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资金发放频度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年资金发放频度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12次</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预算控制数</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医保缴费基数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6383元</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增加收入</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增加劳务派遣人员的家庭收入</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较上年增加</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4"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有所提高</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群众满意度指标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13.</w:t>
      </w:r>
      <w:r>
        <w:rPr>
          <w:rFonts w:ascii="方正仿宋_GBK" w:hAnsi="方正仿宋_GBK" w:eastAsia="方正仿宋_GBK" w:cs="方正仿宋_GBK"/>
          <w:color w:val="000000"/>
          <w:kern w:val="0"/>
          <w:sz w:val="28"/>
          <w:szCs w:val="24"/>
          <w:lang w:eastAsia="uk-UA"/>
        </w:rPr>
        <w:t>2022年拆迁补偿项目（基金）绩效目标表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2235"/>
        <w:gridCol w:w="293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39" w:hRule="atLeast"/>
          <w:tblHeader/>
          <w:jc w:val="center"/>
        </w:trPr>
        <w:tc>
          <w:tcPr>
            <w:tcW w:w="149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568"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1.完成项目征地拆迁等前期工作，保证项目顺利进行。</w:t>
            </w:r>
          </w:p>
          <w:p>
            <w:pPr>
              <w:pStyle w:val="14"/>
              <w:rPr>
                <w:rFonts w:hint="eastAsia" w:ascii="仿宋" w:hAnsi="仿宋" w:eastAsia="仿宋" w:cs="仿宋"/>
                <w:sz w:val="21"/>
                <w:szCs w:val="21"/>
              </w:rPr>
            </w:pPr>
            <w:r>
              <w:rPr>
                <w:rFonts w:hint="eastAsia" w:ascii="仿宋" w:hAnsi="仿宋" w:eastAsia="仿宋" w:cs="仿宋"/>
                <w:sz w:val="21"/>
                <w:szCs w:val="21"/>
              </w:rPr>
              <w:t>2.为招商引资提供便利，为居民增收提供便利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2" w:hRule="atLeast"/>
          <w:tblHeader/>
          <w:jc w:val="center"/>
        </w:trPr>
        <w:tc>
          <w:tcPr>
            <w:tcW w:w="149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9" w:hRule="atLeast"/>
          <w:jc w:val="center"/>
        </w:trPr>
        <w:tc>
          <w:tcPr>
            <w:tcW w:w="149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征地拆迁数量</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征地拆迁完成工作量占总拆迁工作量的比例</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附着物、场地清理工作</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附着物、场地清理、平整率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地上附着物评估、土地补偿工作</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按时按质完成地上附着物的评估、土地补偿兑付率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亩均补偿标准</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亩均补偿标准</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11.5万元</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49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为招商引资提供便利条件</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为招商引资提供便利，为居民增收提供便利。</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效果明显</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政策知晓率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49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bookmarkStart w:id="4" w:name="_Toc_4_4_0000000017"/>
      <w:r>
        <w:rPr>
          <w:rFonts w:ascii="方正仿宋_GBK" w:hAnsi="方正仿宋_GBK" w:eastAsia="方正仿宋_GBK" w:cs="方正仿宋_GBK"/>
          <w:color w:val="000000"/>
          <w:kern w:val="0"/>
          <w:sz w:val="28"/>
          <w:szCs w:val="24"/>
          <w:lang w:eastAsia="uk-UA"/>
        </w:rPr>
        <w:t>14.基层组织建设项目（一般）绩效目标表</w:t>
      </w:r>
      <w:bookmarkEnd w:id="4"/>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2"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65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通过该项目实施，改善村干部办公环境，方便为群众服务。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7"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4"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3个</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4"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8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单位建设成本</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单位建设成本</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≤1000元/平方米</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抽查人数中满意的人数占比</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方正仿宋_GBK" w:hAnsi="方正仿宋_GBK" w:eastAsia="方正仿宋_GBK" w:cs="方正仿宋_GBK"/>
          <w:color w:val="000000"/>
          <w:kern w:val="0"/>
          <w:sz w:val="28"/>
          <w:szCs w:val="24"/>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15.</w:t>
      </w:r>
      <w:r>
        <w:rPr>
          <w:rFonts w:ascii="方正仿宋_GBK" w:hAnsi="方正仿宋_GBK" w:eastAsia="方正仿宋_GBK" w:cs="方正仿宋_GBK"/>
          <w:color w:val="000000"/>
          <w:kern w:val="0"/>
          <w:sz w:val="28"/>
          <w:szCs w:val="24"/>
          <w:lang w:eastAsia="uk-UA"/>
        </w:rPr>
        <w:t>取水设施项目（一般）绩效目标表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9"/>
        <w:gridCol w:w="2175"/>
        <w:gridCol w:w="2235"/>
        <w:gridCol w:w="3600"/>
        <w:gridCol w:w="1470"/>
        <w:gridCol w:w="2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2" w:hRule="atLeast"/>
          <w:tblHeader/>
          <w:jc w:val="center"/>
        </w:trPr>
        <w:tc>
          <w:tcPr>
            <w:tcW w:w="162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43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通过该项目 的实施，使得张老辛、丁家庄村民喝到放心安全引用水。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77" w:hRule="atLeast"/>
          <w:tblHeader/>
          <w:jc w:val="center"/>
        </w:trPr>
        <w:tc>
          <w:tcPr>
            <w:tcW w:w="162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62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2个</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钢管井单位成本</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钢管井单位成本</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≤1000元/米</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p>
            <w:pPr>
              <w:pStyle w:val="14"/>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9" w:hRule="atLeast"/>
          <w:jc w:val="center"/>
        </w:trPr>
        <w:tc>
          <w:tcPr>
            <w:tcW w:w="162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抽样调查人数中满意人数的占比</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16.</w:t>
      </w:r>
      <w:r>
        <w:rPr>
          <w:rFonts w:ascii="方正仿宋_GBK" w:hAnsi="方正仿宋_GBK" w:eastAsia="方正仿宋_GBK" w:cs="方正仿宋_GBK"/>
          <w:color w:val="000000"/>
          <w:kern w:val="0"/>
          <w:sz w:val="28"/>
          <w:szCs w:val="24"/>
          <w:lang w:eastAsia="uk-UA"/>
        </w:rPr>
        <w:t>容貌改善项目（一般）绩效目标表</w:t>
      </w:r>
    </w:p>
    <w:tbl>
      <w:tblPr>
        <w:tblStyle w:val="8"/>
        <w:tblW w:w="134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998"/>
        <w:gridCol w:w="2053"/>
        <w:gridCol w:w="2627"/>
        <w:gridCol w:w="1362"/>
        <w:gridCol w:w="40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66" w:hRule="atLeast"/>
          <w:tblHeader/>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132"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1.通过道路硬化工程的实施，使得居民出行更加便利。</w:t>
            </w:r>
          </w:p>
          <w:p>
            <w:pPr>
              <w:pStyle w:val="14"/>
              <w:rPr>
                <w:rFonts w:hint="eastAsia" w:ascii="仿宋" w:hAnsi="仿宋" w:eastAsia="仿宋" w:cs="仿宋"/>
                <w:sz w:val="21"/>
                <w:szCs w:val="21"/>
              </w:rPr>
            </w:pPr>
            <w:r>
              <w:rPr>
                <w:rFonts w:hint="eastAsia" w:ascii="仿宋" w:hAnsi="仿宋" w:eastAsia="仿宋" w:cs="仿宋"/>
                <w:sz w:val="21"/>
                <w:szCs w:val="21"/>
              </w:rPr>
              <w:t>2.通过亮化工程的实施，村民夜间出行方便安全。</w:t>
            </w:r>
          </w:p>
          <w:p>
            <w:pPr>
              <w:pStyle w:val="14"/>
              <w:rPr>
                <w:rFonts w:hint="eastAsia" w:ascii="仿宋" w:hAnsi="仿宋" w:eastAsia="仿宋" w:cs="仿宋"/>
                <w:sz w:val="21"/>
                <w:szCs w:val="21"/>
              </w:rPr>
            </w:pPr>
            <w:r>
              <w:rPr>
                <w:rFonts w:hint="eastAsia" w:ascii="仿宋" w:hAnsi="仿宋" w:eastAsia="仿宋" w:cs="仿宋"/>
                <w:sz w:val="21"/>
                <w:szCs w:val="21"/>
              </w:rPr>
              <w:t>3.通过排水工程的实施，使得居民在汛期出行生活更加便利。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6" w:hRule="atLeast"/>
          <w:tblHeader/>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37个</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continue"/>
            <w:shd w:val="clear" w:color="auto" w:fill="auto"/>
            <w:vAlign w:val="center"/>
          </w:tcPr>
          <w:p>
            <w:pPr>
              <w:pStyle w:val="14"/>
              <w:rPr>
                <w:rFonts w:hint="eastAsia" w:ascii="仿宋" w:hAnsi="仿宋" w:eastAsia="仿宋" w:cs="仿宋"/>
                <w:sz w:val="21"/>
                <w:szCs w:val="21"/>
              </w:rPr>
            </w:pP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continue"/>
            <w:shd w:val="clear" w:color="auto" w:fill="auto"/>
            <w:vAlign w:val="center"/>
          </w:tcPr>
          <w:p>
            <w:pPr>
              <w:pStyle w:val="14"/>
              <w:rPr>
                <w:rFonts w:hint="eastAsia" w:ascii="仿宋" w:hAnsi="仿宋" w:eastAsia="仿宋" w:cs="仿宋"/>
                <w:sz w:val="21"/>
                <w:szCs w:val="21"/>
              </w:rPr>
            </w:pP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continue"/>
            <w:shd w:val="clear" w:color="auto" w:fill="auto"/>
            <w:vAlign w:val="center"/>
          </w:tcPr>
          <w:p>
            <w:pPr>
              <w:pStyle w:val="14"/>
              <w:rPr>
                <w:rFonts w:hint="eastAsia" w:ascii="仿宋" w:hAnsi="仿宋" w:eastAsia="仿宋" w:cs="仿宋"/>
                <w:sz w:val="21"/>
                <w:szCs w:val="21"/>
              </w:rPr>
            </w:pP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≤180元/平方米</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7" w:hRule="atLeast"/>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2" w:hRule="atLeast"/>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抽样人群中满意人数的占比</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17.</w:t>
      </w:r>
      <w:r>
        <w:rPr>
          <w:rFonts w:ascii="方正仿宋_GBK" w:hAnsi="方正仿宋_GBK" w:eastAsia="方正仿宋_GBK" w:cs="方正仿宋_GBK"/>
          <w:color w:val="000000"/>
          <w:sz w:val="28"/>
        </w:rPr>
        <w:t>提前下达2022年均衡性转移支付（村级组织运转经费 冀财预【2021】75号）绩效目标表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160"/>
        <w:gridCol w:w="2115"/>
        <w:gridCol w:w="3855"/>
        <w:gridCol w:w="1785"/>
        <w:gridCol w:w="2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7" w:hRule="atLeast"/>
          <w:tblHeader/>
          <w:jc w:val="center"/>
        </w:trPr>
        <w:tc>
          <w:tcPr>
            <w:tcW w:w="141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64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通过支付村街党员活动经费以及村街办公经费，丰富党员活动项目，更好服务村民。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141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村街数量</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涉及经费村街数量</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37个</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村委会正常运转比例</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正常工作天数占总天数的比例</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各项经费按时发放</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各项经费按时发放占全部应发放的比例</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办公费年控制成本</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中等大小村街办公费年控制成本</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1.3万元</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增加收入</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领取经费人员家庭收入增加</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较上年有所提高</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节能减排效果</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较上年明显</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41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18</w:t>
      </w:r>
      <w:r>
        <w:rPr>
          <w:rFonts w:ascii="方正仿宋_GBK" w:hAnsi="方正仿宋_GBK" w:eastAsia="方正仿宋_GBK" w:cs="方正仿宋_GBK"/>
          <w:color w:val="000000"/>
          <w:sz w:val="28"/>
        </w:rPr>
        <w:t>.提前下达2022年均衡性转移支付（革命老区 冀财预【2021】71号）绩效目标表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4"/>
        <w:gridCol w:w="2070"/>
        <w:gridCol w:w="2175"/>
        <w:gridCol w:w="2340"/>
        <w:gridCol w:w="1830"/>
        <w:gridCol w:w="43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2" w:hRule="atLeast"/>
          <w:tblHeader/>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748"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通过道路硬化工程的实施，使得居民出行更加便利。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2" w:hRule="atLeast"/>
          <w:tblHeader/>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9" w:hRule="atLeast"/>
          <w:jc w:val="center"/>
        </w:trPr>
        <w:tc>
          <w:tcPr>
            <w:tcW w:w="131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3个</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314" w:type="dxa"/>
            <w:vMerge w:val="continue"/>
            <w:shd w:val="clear" w:color="auto" w:fill="auto"/>
            <w:vAlign w:val="center"/>
          </w:tcPr>
          <w:p>
            <w:pPr>
              <w:pStyle w:val="14"/>
              <w:rPr>
                <w:rFonts w:hint="eastAsia" w:ascii="仿宋" w:hAnsi="仿宋" w:eastAsia="仿宋" w:cs="仿宋"/>
                <w:sz w:val="21"/>
                <w:szCs w:val="21"/>
              </w:rPr>
            </w:pP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14" w:type="dxa"/>
            <w:vMerge w:val="continue"/>
            <w:shd w:val="clear" w:color="auto" w:fill="auto"/>
            <w:vAlign w:val="center"/>
          </w:tcPr>
          <w:p>
            <w:pPr>
              <w:pStyle w:val="14"/>
              <w:rPr>
                <w:rFonts w:hint="eastAsia" w:ascii="仿宋" w:hAnsi="仿宋" w:eastAsia="仿宋" w:cs="仿宋"/>
                <w:sz w:val="21"/>
                <w:szCs w:val="21"/>
              </w:rPr>
            </w:pP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9" w:hRule="atLeast"/>
          <w:jc w:val="center"/>
        </w:trPr>
        <w:tc>
          <w:tcPr>
            <w:tcW w:w="1314" w:type="dxa"/>
            <w:vMerge w:val="continue"/>
            <w:shd w:val="clear" w:color="auto" w:fill="auto"/>
            <w:vAlign w:val="center"/>
          </w:tcPr>
          <w:p>
            <w:pPr>
              <w:pStyle w:val="14"/>
              <w:rPr>
                <w:rFonts w:hint="eastAsia" w:ascii="仿宋" w:hAnsi="仿宋" w:eastAsia="仿宋" w:cs="仿宋"/>
                <w:sz w:val="21"/>
                <w:szCs w:val="21"/>
              </w:rPr>
            </w:pP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≤180元/平方米</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4" w:hRule="atLeast"/>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9" w:hRule="atLeast"/>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村民满意度</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抽查中满意人数的占比</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19.</w:t>
      </w:r>
      <w:r>
        <w:rPr>
          <w:rFonts w:ascii="方正仿宋_GBK" w:hAnsi="方正仿宋_GBK" w:eastAsia="方正仿宋_GBK" w:cs="方正仿宋_GBK"/>
          <w:color w:val="000000"/>
          <w:sz w:val="28"/>
        </w:rPr>
        <w:t>提前下达2022年中央大气污染防治资金（用于农村地区清洁取暖任务运行补贴）冀财预【2021】103号绩效目标表</w:t>
      </w:r>
    </w:p>
    <w:tbl>
      <w:tblPr>
        <w:tblStyle w:val="8"/>
        <w:tblW w:w="132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7"/>
        <w:gridCol w:w="1587"/>
        <w:gridCol w:w="2006"/>
        <w:gridCol w:w="2036"/>
        <w:gridCol w:w="1333"/>
        <w:gridCol w:w="5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0" w:hRule="atLeast"/>
          <w:tblHeader/>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99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按时发放农村地区清洁取暖农户运行补贴。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8" w:hRule="atLeast"/>
          <w:tblHeader/>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5" w:hRule="atLeast"/>
          <w:jc w:val="center"/>
        </w:trPr>
        <w:tc>
          <w:tcPr>
            <w:tcW w:w="1207"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发放补贴户数</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发放补贴户数</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≤6570户</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3" w:hRule="atLeast"/>
          <w:jc w:val="center"/>
        </w:trPr>
        <w:tc>
          <w:tcPr>
            <w:tcW w:w="1207" w:type="dxa"/>
            <w:vMerge w:val="continue"/>
            <w:shd w:val="clear" w:color="auto" w:fill="auto"/>
            <w:vAlign w:val="center"/>
          </w:tcPr>
          <w:p>
            <w:pPr>
              <w:pStyle w:val="14"/>
              <w:rPr>
                <w:rFonts w:hint="eastAsia" w:ascii="仿宋" w:hAnsi="仿宋" w:eastAsia="仿宋" w:cs="仿宋"/>
                <w:sz w:val="21"/>
                <w:szCs w:val="21"/>
              </w:rPr>
            </w:pP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精准率</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补贴发放精准率</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77" w:hRule="atLeast"/>
          <w:jc w:val="center"/>
        </w:trPr>
        <w:tc>
          <w:tcPr>
            <w:tcW w:w="1207" w:type="dxa"/>
            <w:vMerge w:val="continue"/>
            <w:shd w:val="clear" w:color="auto" w:fill="auto"/>
            <w:vAlign w:val="center"/>
          </w:tcPr>
          <w:p>
            <w:pPr>
              <w:pStyle w:val="14"/>
              <w:rPr>
                <w:rFonts w:hint="eastAsia" w:ascii="仿宋" w:hAnsi="仿宋" w:eastAsia="仿宋" w:cs="仿宋"/>
                <w:sz w:val="21"/>
                <w:szCs w:val="21"/>
              </w:rPr>
            </w:pP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资金发放频度</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年资金发放频度</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1次</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9" w:hRule="atLeast"/>
          <w:jc w:val="center"/>
        </w:trPr>
        <w:tc>
          <w:tcPr>
            <w:tcW w:w="1207" w:type="dxa"/>
            <w:vMerge w:val="continue"/>
            <w:shd w:val="clear" w:color="auto" w:fill="auto"/>
            <w:vAlign w:val="center"/>
          </w:tcPr>
          <w:p>
            <w:pPr>
              <w:pStyle w:val="14"/>
              <w:rPr>
                <w:rFonts w:hint="eastAsia" w:ascii="仿宋" w:hAnsi="仿宋" w:eastAsia="仿宋" w:cs="仿宋"/>
                <w:sz w:val="21"/>
                <w:szCs w:val="21"/>
              </w:rPr>
            </w:pP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单位成本</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户补贴标准</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≤2000元</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71" w:hRule="atLeast"/>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8" w:hRule="atLeast"/>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抽查中满意人数的占比。</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20.</w:t>
      </w:r>
      <w:r>
        <w:rPr>
          <w:rFonts w:ascii="方正仿宋_GBK" w:hAnsi="方正仿宋_GBK" w:eastAsia="方正仿宋_GBK" w:cs="方正仿宋_GBK"/>
          <w:color w:val="000000"/>
          <w:sz w:val="28"/>
        </w:rPr>
        <w:t>乡镇体质改革前项目（一般）绩效目标表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8"/>
        <w:gridCol w:w="2040"/>
        <w:gridCol w:w="2085"/>
        <w:gridCol w:w="2745"/>
        <w:gridCol w:w="1665"/>
        <w:gridCol w:w="4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9" w:hRule="atLeast"/>
          <w:tblHeader/>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744"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1.通过对主街区路面硬化，改善域内居民购物、出行条件。</w:t>
            </w:r>
          </w:p>
          <w:p>
            <w:pPr>
              <w:pStyle w:val="14"/>
              <w:rPr>
                <w:rFonts w:hint="eastAsia" w:ascii="仿宋" w:hAnsi="仿宋" w:eastAsia="仿宋" w:cs="仿宋"/>
                <w:sz w:val="21"/>
                <w:szCs w:val="21"/>
              </w:rPr>
            </w:pPr>
            <w:r>
              <w:rPr>
                <w:rFonts w:hint="eastAsia" w:ascii="仿宋" w:hAnsi="仿宋" w:eastAsia="仿宋" w:cs="仿宋"/>
                <w:sz w:val="21"/>
                <w:szCs w:val="21"/>
              </w:rPr>
              <w:t>2.通过对高楼村排水工程实施，使得村民在汛期内出行便利。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tblHeader/>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4" w:hRule="atLeast"/>
          <w:jc w:val="center"/>
        </w:trPr>
        <w:tc>
          <w:tcPr>
            <w:tcW w:w="1318"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硬化路面数量</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硬化路面数量</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31549.6平方米</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4" w:hRule="atLeast"/>
          <w:jc w:val="center"/>
        </w:trPr>
        <w:tc>
          <w:tcPr>
            <w:tcW w:w="1318" w:type="dxa"/>
            <w:vMerge w:val="continue"/>
            <w:shd w:val="clear" w:color="auto" w:fill="auto"/>
            <w:vAlign w:val="center"/>
          </w:tcPr>
          <w:p>
            <w:pPr>
              <w:pStyle w:val="14"/>
              <w:rPr>
                <w:rFonts w:hint="eastAsia" w:ascii="仿宋" w:hAnsi="仿宋" w:eastAsia="仿宋" w:cs="仿宋"/>
                <w:sz w:val="21"/>
                <w:szCs w:val="21"/>
              </w:rPr>
            </w:pP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18" w:type="dxa"/>
            <w:vMerge w:val="continue"/>
            <w:shd w:val="clear" w:color="auto" w:fill="auto"/>
            <w:vAlign w:val="center"/>
          </w:tcPr>
          <w:p>
            <w:pPr>
              <w:pStyle w:val="14"/>
              <w:rPr>
                <w:rFonts w:hint="eastAsia" w:ascii="仿宋" w:hAnsi="仿宋" w:eastAsia="仿宋" w:cs="仿宋"/>
                <w:sz w:val="21"/>
                <w:szCs w:val="21"/>
              </w:rPr>
            </w:pP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318" w:type="dxa"/>
            <w:vMerge w:val="continue"/>
            <w:shd w:val="clear" w:color="auto" w:fill="auto"/>
            <w:vAlign w:val="center"/>
          </w:tcPr>
          <w:p>
            <w:pPr>
              <w:pStyle w:val="14"/>
              <w:rPr>
                <w:rFonts w:hint="eastAsia" w:ascii="仿宋" w:hAnsi="仿宋" w:eastAsia="仿宋" w:cs="仿宋"/>
                <w:sz w:val="21"/>
                <w:szCs w:val="21"/>
              </w:rPr>
            </w:pP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管道成本</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排水管道DN800单位成本</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≤782元/米</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9" w:hRule="atLeast"/>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调查人员中满意人数的占比</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21.</w:t>
      </w:r>
      <w:r>
        <w:rPr>
          <w:rFonts w:ascii="方正仿宋_GBK" w:hAnsi="方正仿宋_GBK" w:eastAsia="方正仿宋_GBK" w:cs="方正仿宋_GBK"/>
          <w:color w:val="000000"/>
          <w:sz w:val="28"/>
        </w:rPr>
        <w:t>镇村基础设施建设项目（基金）绩效目标表</w:t>
      </w:r>
    </w:p>
    <w:tbl>
      <w:tblPr>
        <w:tblStyle w:val="8"/>
        <w:tblW w:w="138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170"/>
        <w:gridCol w:w="1831"/>
        <w:gridCol w:w="2790"/>
        <w:gridCol w:w="1491"/>
        <w:gridCol w:w="3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60" w:hRule="atLeast"/>
          <w:tblHeader/>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266" w:type="dxa"/>
            <w:gridSpan w:val="5"/>
            <w:shd w:val="clear" w:color="auto" w:fill="auto"/>
            <w:vAlign w:val="center"/>
          </w:tcPr>
          <w:p>
            <w:pPr>
              <w:pStyle w:val="14"/>
              <w:rPr>
                <w:rFonts w:hint="eastAsia" w:ascii="仿宋" w:hAnsi="仿宋" w:eastAsia="仿宋" w:cs="仿宋"/>
                <w:sz w:val="24"/>
                <w:szCs w:val="24"/>
              </w:rPr>
            </w:pPr>
            <w:r>
              <w:rPr>
                <w:rFonts w:hint="eastAsia" w:ascii="仿宋" w:hAnsi="仿宋" w:eastAsia="仿宋" w:cs="仿宋"/>
                <w:sz w:val="24"/>
                <w:szCs w:val="24"/>
              </w:rPr>
              <w:t>1.通过亮化工程的实施，村民夜间出行方便安全。</w:t>
            </w:r>
          </w:p>
          <w:p>
            <w:pPr>
              <w:pStyle w:val="14"/>
              <w:rPr>
                <w:rFonts w:hint="eastAsia" w:ascii="仿宋" w:hAnsi="仿宋" w:eastAsia="仿宋" w:cs="仿宋"/>
                <w:sz w:val="24"/>
                <w:szCs w:val="24"/>
              </w:rPr>
            </w:pPr>
            <w:r>
              <w:rPr>
                <w:rFonts w:hint="eastAsia" w:ascii="仿宋" w:hAnsi="仿宋" w:eastAsia="仿宋" w:cs="仿宋"/>
                <w:sz w:val="24"/>
                <w:szCs w:val="24"/>
              </w:rPr>
              <w:t>2.通过道路硬化工程的实施，使得居民出行更加便利。</w:t>
            </w:r>
          </w:p>
          <w:p>
            <w:pPr>
              <w:pStyle w:val="14"/>
              <w:rPr>
                <w:rFonts w:hint="eastAsia" w:ascii="仿宋" w:hAnsi="仿宋" w:eastAsia="仿宋" w:cs="仿宋"/>
                <w:sz w:val="21"/>
                <w:szCs w:val="21"/>
              </w:rPr>
            </w:pPr>
            <w:r>
              <w:rPr>
                <w:rFonts w:hint="eastAsia" w:ascii="仿宋" w:hAnsi="仿宋" w:eastAsia="仿宋" w:cs="仿宋"/>
                <w:sz w:val="24"/>
                <w:szCs w:val="24"/>
              </w:rPr>
              <w:t>3.通过排水工程的实施，使得居民在汛期出行生活更加便利。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0" w:hRule="atLeast"/>
          <w:tblHeader/>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村街数量</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受益村街数量</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29个</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2" w:hRule="atLeast"/>
          <w:jc w:val="center"/>
        </w:trPr>
        <w:tc>
          <w:tcPr>
            <w:tcW w:w="1574" w:type="dxa"/>
            <w:vMerge w:val="continue"/>
            <w:shd w:val="clear" w:color="auto" w:fill="auto"/>
            <w:vAlign w:val="center"/>
          </w:tcPr>
          <w:p>
            <w:pPr>
              <w:pStyle w:val="14"/>
              <w:rPr>
                <w:rFonts w:hint="eastAsia" w:ascii="仿宋" w:hAnsi="仿宋" w:eastAsia="仿宋" w:cs="仿宋"/>
                <w:sz w:val="21"/>
                <w:szCs w:val="21"/>
              </w:rPr>
            </w:pP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工程验收合格率</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vMerge w:val="continue"/>
            <w:shd w:val="clear" w:color="auto" w:fill="auto"/>
            <w:vAlign w:val="center"/>
          </w:tcPr>
          <w:p>
            <w:pPr>
              <w:pStyle w:val="14"/>
              <w:rPr>
                <w:rFonts w:hint="eastAsia" w:ascii="仿宋" w:hAnsi="仿宋" w:eastAsia="仿宋" w:cs="仿宋"/>
                <w:sz w:val="21"/>
                <w:szCs w:val="21"/>
              </w:rPr>
            </w:pP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vMerge w:val="continue"/>
            <w:shd w:val="clear" w:color="auto" w:fill="auto"/>
            <w:vAlign w:val="center"/>
          </w:tcPr>
          <w:p>
            <w:pPr>
              <w:pStyle w:val="14"/>
              <w:rPr>
                <w:rFonts w:hint="eastAsia" w:ascii="仿宋" w:hAnsi="仿宋" w:eastAsia="仿宋" w:cs="仿宋"/>
                <w:sz w:val="21"/>
                <w:szCs w:val="21"/>
              </w:rPr>
            </w:pP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路灯单位成本</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8米高路灯单位成本</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≤4500元/盏</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2" w:hRule="atLeast"/>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抽查对象中满意人数的占比</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22.</w:t>
      </w:r>
      <w:r>
        <w:rPr>
          <w:rFonts w:ascii="方正仿宋_GBK" w:hAnsi="方正仿宋_GBK" w:eastAsia="方正仿宋_GBK" w:cs="方正仿宋_GBK"/>
          <w:color w:val="000000"/>
          <w:sz w:val="28"/>
        </w:rPr>
        <w:t>镇村社会事业发展建设项目（一般）绩效目标表</w:t>
      </w:r>
    </w:p>
    <w:tbl>
      <w:tblPr>
        <w:tblStyle w:val="8"/>
        <w:tblW w:w="13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2160"/>
        <w:gridCol w:w="2130"/>
        <w:gridCol w:w="2355"/>
        <w:gridCol w:w="1800"/>
        <w:gridCol w:w="4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2" w:hRule="atLeast"/>
          <w:tblHeader/>
          <w:jc w:val="center"/>
        </w:trPr>
        <w:tc>
          <w:tcPr>
            <w:tcW w:w="1393" w:type="dxa"/>
            <w:shd w:val="clear" w:color="auto" w:fill="auto"/>
            <w:vAlign w:val="center"/>
          </w:tcPr>
          <w:p>
            <w:pPr>
              <w:pStyle w:val="14"/>
              <w:rPr>
                <w:rFonts w:hint="eastAsia" w:ascii="仿宋" w:hAnsi="仿宋" w:eastAsia="仿宋" w:cs="仿宋"/>
                <w:sz w:val="24"/>
                <w:szCs w:val="24"/>
              </w:rPr>
            </w:pPr>
            <w:r>
              <w:rPr>
                <w:rFonts w:hint="eastAsia" w:ascii="仿宋" w:hAnsi="仿宋" w:eastAsia="仿宋" w:cs="仿宋"/>
                <w:sz w:val="24"/>
                <w:szCs w:val="24"/>
              </w:rPr>
              <w:t>绩效目标</w:t>
            </w:r>
          </w:p>
        </w:tc>
        <w:tc>
          <w:tcPr>
            <w:tcW w:w="12465" w:type="dxa"/>
            <w:gridSpan w:val="5"/>
            <w:shd w:val="clear" w:color="auto" w:fill="auto"/>
            <w:vAlign w:val="center"/>
          </w:tcPr>
          <w:p>
            <w:pPr>
              <w:pStyle w:val="14"/>
              <w:rPr>
                <w:rFonts w:hint="eastAsia" w:ascii="仿宋" w:hAnsi="仿宋" w:eastAsia="仿宋" w:cs="仿宋"/>
                <w:sz w:val="24"/>
                <w:szCs w:val="24"/>
              </w:rPr>
            </w:pPr>
            <w:r>
              <w:rPr>
                <w:rFonts w:hint="eastAsia" w:ascii="仿宋" w:hAnsi="仿宋" w:eastAsia="仿宋" w:cs="仿宋"/>
                <w:sz w:val="24"/>
                <w:szCs w:val="24"/>
              </w:rPr>
              <w:t>通过道路硬化工程的实施，使得居民出行更加便利。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7" w:hRule="atLeast"/>
          <w:tblHeader/>
          <w:jc w:val="center"/>
        </w:trPr>
        <w:tc>
          <w:tcPr>
            <w:tcW w:w="139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9" w:hRule="atLeast"/>
          <w:jc w:val="center"/>
        </w:trPr>
        <w:tc>
          <w:tcPr>
            <w:tcW w:w="1393"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3个</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393"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393"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93"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≤180元/平方米</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9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9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村民满意度</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抽查中满意人数的占比</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5"/>
    <w:p>
      <w:pPr>
        <w:jc w:val="center"/>
        <w:outlineLvl w:val="1"/>
        <w:rPr>
          <w:rFonts w:hint="eastAsia" w:ascii="方正小标宋_GBK" w:eastAsia="方正小标宋_GBK" w:cs="Times New Roman"/>
          <w:sz w:val="32"/>
        </w:rPr>
      </w:pPr>
      <w:bookmarkStart w:id="6"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6"/>
    </w:p>
    <w:p>
      <w:pPr>
        <w:jc w:val="both"/>
        <w:outlineLvl w:val="1"/>
        <w:rPr>
          <w:rFonts w:ascii="方正小标宋_GBK" w:eastAsia="方正小标宋_GBK" w:cs="Times New Roman"/>
          <w:sz w:val="32"/>
        </w:rPr>
      </w:pPr>
      <w:r>
        <w:rPr>
          <w:rFonts w:hint="eastAsia"/>
          <w:lang w:eastAsia="zh-CN"/>
        </w:rPr>
        <w:t>三河</w:t>
      </w:r>
      <w:r>
        <w:t>市</w:t>
      </w:r>
      <w:r>
        <w:rPr>
          <w:rFonts w:hint="eastAsia"/>
          <w:lang w:eastAsia="zh-CN"/>
        </w:rPr>
        <w:t>高楼镇人民政府</w:t>
      </w:r>
      <w:r>
        <w:t xml:space="preserve">                                                                                                       单位：万元</w:t>
      </w:r>
    </w:p>
    <w:tbl>
      <w:tblPr>
        <w:tblStyle w:val="8"/>
        <w:tblW w:w="147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837"/>
        <w:gridCol w:w="1020"/>
        <w:gridCol w:w="1065"/>
        <w:gridCol w:w="810"/>
        <w:gridCol w:w="705"/>
        <w:gridCol w:w="705"/>
        <w:gridCol w:w="735"/>
        <w:gridCol w:w="1065"/>
        <w:gridCol w:w="795"/>
        <w:gridCol w:w="1275"/>
        <w:gridCol w:w="795"/>
        <w:gridCol w:w="825"/>
        <w:gridCol w:w="855"/>
        <w:gridCol w:w="94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34" w:type="dxa"/>
            <w:gridSpan w:val="2"/>
            <w:vAlign w:val="center"/>
          </w:tcPr>
          <w:p>
            <w:pPr>
              <w:pStyle w:val="12"/>
            </w:pPr>
            <w:r>
              <w:t>政府采购项目来源</w:t>
            </w:r>
          </w:p>
        </w:tc>
        <w:tc>
          <w:tcPr>
            <w:tcW w:w="1020" w:type="dxa"/>
            <w:vMerge w:val="restart"/>
            <w:vAlign w:val="center"/>
          </w:tcPr>
          <w:p>
            <w:pPr>
              <w:pStyle w:val="12"/>
            </w:pPr>
            <w:r>
              <w:t>采购物品名称</w:t>
            </w:r>
          </w:p>
        </w:tc>
        <w:tc>
          <w:tcPr>
            <w:tcW w:w="1065" w:type="dxa"/>
            <w:vMerge w:val="restart"/>
            <w:vAlign w:val="center"/>
          </w:tcPr>
          <w:p>
            <w:pPr>
              <w:pStyle w:val="12"/>
            </w:pPr>
            <w:r>
              <w:t>政府采购目录序号</w:t>
            </w:r>
          </w:p>
        </w:tc>
        <w:tc>
          <w:tcPr>
            <w:tcW w:w="810" w:type="dxa"/>
            <w:vMerge w:val="restart"/>
            <w:vAlign w:val="center"/>
          </w:tcPr>
          <w:p>
            <w:pPr>
              <w:pStyle w:val="12"/>
            </w:pPr>
            <w:r>
              <w:t>计量  单位</w:t>
            </w:r>
          </w:p>
        </w:tc>
        <w:tc>
          <w:tcPr>
            <w:tcW w:w="705" w:type="dxa"/>
            <w:vMerge w:val="restart"/>
            <w:vAlign w:val="center"/>
          </w:tcPr>
          <w:p>
            <w:pPr>
              <w:pStyle w:val="12"/>
            </w:pPr>
            <w:r>
              <w:t>数量</w:t>
            </w:r>
          </w:p>
        </w:tc>
        <w:tc>
          <w:tcPr>
            <w:tcW w:w="705" w:type="dxa"/>
            <w:vMerge w:val="restart"/>
            <w:vAlign w:val="center"/>
          </w:tcPr>
          <w:p>
            <w:pPr>
              <w:pStyle w:val="12"/>
            </w:pPr>
            <w:r>
              <w:t>单价</w:t>
            </w:r>
          </w:p>
        </w:tc>
        <w:tc>
          <w:tcPr>
            <w:tcW w:w="7290" w:type="dxa"/>
            <w:gridSpan w:val="8"/>
            <w:vAlign w:val="center"/>
          </w:tcPr>
          <w:p>
            <w:pPr>
              <w:pStyle w:val="12"/>
            </w:pPr>
            <w:r>
              <w:t>政府采购金额（当年</w:t>
            </w:r>
            <w:r>
              <w:rPr>
                <w:rFonts w:hint="eastAsia"/>
                <w:lang w:eastAsia="zh-CN"/>
              </w:rPr>
              <w:t>单位</w:t>
            </w:r>
            <w:r>
              <w:t>预算安排资金）</w:t>
            </w:r>
          </w:p>
        </w:tc>
        <w:tc>
          <w:tcPr>
            <w:tcW w:w="1215"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837" w:type="dxa"/>
            <w:vAlign w:val="center"/>
          </w:tcPr>
          <w:p>
            <w:pPr>
              <w:pStyle w:val="12"/>
            </w:pPr>
            <w:r>
              <w:t>预算    资金</w:t>
            </w:r>
          </w:p>
        </w:tc>
        <w:tc>
          <w:tcPr>
            <w:tcW w:w="1020" w:type="dxa"/>
            <w:vMerge w:val="continue"/>
          </w:tcPr>
          <w:p/>
        </w:tc>
        <w:tc>
          <w:tcPr>
            <w:tcW w:w="1065" w:type="dxa"/>
            <w:vMerge w:val="continue"/>
          </w:tcPr>
          <w:p/>
        </w:tc>
        <w:tc>
          <w:tcPr>
            <w:tcW w:w="810" w:type="dxa"/>
            <w:vMerge w:val="continue"/>
          </w:tcPr>
          <w:p/>
        </w:tc>
        <w:tc>
          <w:tcPr>
            <w:tcW w:w="705" w:type="dxa"/>
            <w:vMerge w:val="continue"/>
          </w:tcPr>
          <w:p/>
        </w:tc>
        <w:tc>
          <w:tcPr>
            <w:tcW w:w="705" w:type="dxa"/>
            <w:vMerge w:val="continue"/>
          </w:tcPr>
          <w:p/>
        </w:tc>
        <w:tc>
          <w:tcPr>
            <w:tcW w:w="735" w:type="dxa"/>
            <w:vAlign w:val="center"/>
          </w:tcPr>
          <w:p>
            <w:pPr>
              <w:pStyle w:val="12"/>
            </w:pPr>
            <w:r>
              <w:t>合计</w:t>
            </w:r>
          </w:p>
        </w:tc>
        <w:tc>
          <w:tcPr>
            <w:tcW w:w="1065" w:type="dxa"/>
            <w:vAlign w:val="center"/>
          </w:tcPr>
          <w:p>
            <w:pPr>
              <w:pStyle w:val="12"/>
            </w:pPr>
            <w:r>
              <w:t>一般公共预算拨款</w:t>
            </w:r>
          </w:p>
        </w:tc>
        <w:tc>
          <w:tcPr>
            <w:tcW w:w="795" w:type="dxa"/>
            <w:vAlign w:val="center"/>
          </w:tcPr>
          <w:p>
            <w:pPr>
              <w:pStyle w:val="12"/>
            </w:pPr>
            <w:r>
              <w:t>基金预算拨款</w:t>
            </w:r>
          </w:p>
        </w:tc>
        <w:tc>
          <w:tcPr>
            <w:tcW w:w="1275" w:type="dxa"/>
            <w:vAlign w:val="center"/>
          </w:tcPr>
          <w:p>
            <w:pPr>
              <w:pStyle w:val="12"/>
            </w:pPr>
            <w:r>
              <w:t>国有资本经营预算拨款</w:t>
            </w:r>
          </w:p>
        </w:tc>
        <w:tc>
          <w:tcPr>
            <w:tcW w:w="795" w:type="dxa"/>
            <w:vAlign w:val="center"/>
          </w:tcPr>
          <w:p>
            <w:pPr>
              <w:pStyle w:val="12"/>
            </w:pPr>
            <w:r>
              <w:t>财政专户核拨</w:t>
            </w:r>
          </w:p>
        </w:tc>
        <w:tc>
          <w:tcPr>
            <w:tcW w:w="825" w:type="dxa"/>
            <w:vAlign w:val="center"/>
          </w:tcPr>
          <w:p>
            <w:pPr>
              <w:pStyle w:val="12"/>
            </w:pPr>
            <w:r>
              <w:t>单位    资金</w:t>
            </w:r>
          </w:p>
        </w:tc>
        <w:tc>
          <w:tcPr>
            <w:tcW w:w="855" w:type="dxa"/>
            <w:vAlign w:val="center"/>
          </w:tcPr>
          <w:p>
            <w:pPr>
              <w:pStyle w:val="12"/>
            </w:pPr>
            <w:r>
              <w:t>财政拨    款结转</w:t>
            </w:r>
          </w:p>
        </w:tc>
        <w:tc>
          <w:tcPr>
            <w:tcW w:w="945" w:type="dxa"/>
            <w:vAlign w:val="center"/>
          </w:tcPr>
          <w:p>
            <w:pPr>
              <w:pStyle w:val="12"/>
            </w:pPr>
            <w:r>
              <w:t>非财政    拨款结    转结余</w:t>
            </w:r>
          </w:p>
        </w:tc>
        <w:tc>
          <w:tcPr>
            <w:tcW w:w="121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837" w:type="dxa"/>
            <w:vAlign w:val="center"/>
          </w:tcPr>
          <w:p>
            <w:pPr>
              <w:pStyle w:val="17"/>
            </w:pPr>
          </w:p>
        </w:tc>
        <w:tc>
          <w:tcPr>
            <w:tcW w:w="1020" w:type="dxa"/>
            <w:vAlign w:val="center"/>
          </w:tcPr>
          <w:p>
            <w:pPr>
              <w:pStyle w:val="18"/>
            </w:pPr>
          </w:p>
        </w:tc>
        <w:tc>
          <w:tcPr>
            <w:tcW w:w="1065" w:type="dxa"/>
            <w:vAlign w:val="center"/>
          </w:tcPr>
          <w:p>
            <w:pPr>
              <w:pStyle w:val="18"/>
            </w:pPr>
          </w:p>
        </w:tc>
        <w:tc>
          <w:tcPr>
            <w:tcW w:w="810" w:type="dxa"/>
            <w:vAlign w:val="center"/>
          </w:tcPr>
          <w:p>
            <w:pPr>
              <w:pStyle w:val="16"/>
            </w:pPr>
          </w:p>
        </w:tc>
        <w:tc>
          <w:tcPr>
            <w:tcW w:w="705" w:type="dxa"/>
            <w:vAlign w:val="center"/>
          </w:tcPr>
          <w:p>
            <w:pPr>
              <w:pStyle w:val="17"/>
            </w:pPr>
          </w:p>
        </w:tc>
        <w:tc>
          <w:tcPr>
            <w:tcW w:w="705" w:type="dxa"/>
            <w:vAlign w:val="center"/>
          </w:tcPr>
          <w:p>
            <w:pPr>
              <w:pStyle w:val="17"/>
            </w:pPr>
          </w:p>
        </w:tc>
        <w:tc>
          <w:tcPr>
            <w:tcW w:w="735" w:type="dxa"/>
            <w:vAlign w:val="center"/>
          </w:tcPr>
          <w:p>
            <w:pPr>
              <w:pStyle w:val="17"/>
            </w:pPr>
          </w:p>
        </w:tc>
        <w:tc>
          <w:tcPr>
            <w:tcW w:w="1065" w:type="dxa"/>
            <w:vAlign w:val="center"/>
          </w:tcPr>
          <w:p>
            <w:pPr>
              <w:pStyle w:val="17"/>
            </w:pPr>
          </w:p>
        </w:tc>
        <w:tc>
          <w:tcPr>
            <w:tcW w:w="795" w:type="dxa"/>
            <w:vAlign w:val="center"/>
          </w:tcPr>
          <w:p>
            <w:pPr>
              <w:pStyle w:val="17"/>
            </w:pPr>
          </w:p>
        </w:tc>
        <w:tc>
          <w:tcPr>
            <w:tcW w:w="1275" w:type="dxa"/>
            <w:vAlign w:val="center"/>
          </w:tcPr>
          <w:p>
            <w:pPr>
              <w:pStyle w:val="17"/>
            </w:pPr>
          </w:p>
        </w:tc>
        <w:tc>
          <w:tcPr>
            <w:tcW w:w="795" w:type="dxa"/>
            <w:vAlign w:val="center"/>
          </w:tcPr>
          <w:p>
            <w:pPr>
              <w:pStyle w:val="17"/>
            </w:pPr>
          </w:p>
        </w:tc>
        <w:tc>
          <w:tcPr>
            <w:tcW w:w="825" w:type="dxa"/>
            <w:vAlign w:val="center"/>
          </w:tcPr>
          <w:p>
            <w:pPr>
              <w:pStyle w:val="17"/>
            </w:pPr>
          </w:p>
        </w:tc>
        <w:tc>
          <w:tcPr>
            <w:tcW w:w="855" w:type="dxa"/>
            <w:vAlign w:val="center"/>
          </w:tcPr>
          <w:p>
            <w:pPr>
              <w:pStyle w:val="17"/>
            </w:pPr>
          </w:p>
        </w:tc>
        <w:tc>
          <w:tcPr>
            <w:tcW w:w="945" w:type="dxa"/>
            <w:vAlign w:val="center"/>
          </w:tcPr>
          <w:p>
            <w:pPr>
              <w:pStyle w:val="17"/>
            </w:pPr>
          </w:p>
        </w:tc>
        <w:tc>
          <w:tcPr>
            <w:tcW w:w="1215" w:type="dxa"/>
            <w:vAlign w:val="center"/>
          </w:tcPr>
          <w:p>
            <w:pPr>
              <w:pStyle w:val="17"/>
            </w:pPr>
          </w:p>
        </w:tc>
      </w:tr>
    </w:tbl>
    <w:p>
      <w:pPr>
        <w:spacing w:line="500" w:lineRule="exact"/>
        <w:rPr>
          <w:rFonts w:hint="eastAsia" w:ascii="方正仿宋_GBK" w:hAnsi="方正仿宋_GBK" w:eastAsia="方正仿宋_GBK" w:cs="方正仿宋_GBK"/>
          <w:color w:val="000000"/>
          <w:lang w:eastAsia="zh-CN"/>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eastAsia="zh-CN"/>
        </w:rPr>
        <w:t>我单位未安排政府采购预算</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1282.60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单位未安排</w:t>
      </w:r>
      <w:r>
        <w:rPr>
          <w:rFonts w:ascii="Times New Roman" w:hAnsi="Times New Roman" w:eastAsia="仿宋_GB2312" w:cs="Times New Roman"/>
          <w:sz w:val="32"/>
          <w:szCs w:val="32"/>
        </w:rPr>
        <w:t>购置固定资产</w:t>
      </w:r>
      <w:r>
        <w:rPr>
          <w:rFonts w:hint="eastAsia" w:ascii="Times New Roman" w:hAnsi="Times New Roman" w:eastAsia="仿宋_GB2312" w:cs="Times New Roman"/>
          <w:sz w:val="32"/>
          <w:szCs w:val="32"/>
          <w:lang w:eastAsia="zh-CN"/>
        </w:rPr>
        <w:t>预算</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高楼镇人民政府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1282.60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546.99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546.99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465.41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09643"/>
    <w:multiLevelType w:val="singleLevel"/>
    <w:tmpl w:val="B4A09643"/>
    <w:lvl w:ilvl="0" w:tentative="0">
      <w:start w:val="1"/>
      <w:numFmt w:val="decimal"/>
      <w:lvlText w:val="%1."/>
      <w:lvlJc w:val="left"/>
      <w:pPr>
        <w:tabs>
          <w:tab w:val="left" w:pos="312"/>
        </w:tabs>
      </w:pPr>
    </w:lvl>
  </w:abstractNum>
  <w:abstractNum w:abstractNumId="1">
    <w:nsid w:val="DDF898E9"/>
    <w:multiLevelType w:val="singleLevel"/>
    <w:tmpl w:val="DDF898E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3895B85"/>
    <w:rsid w:val="03AA2755"/>
    <w:rsid w:val="08462A86"/>
    <w:rsid w:val="0B9D0A05"/>
    <w:rsid w:val="0BF03924"/>
    <w:rsid w:val="0C946333"/>
    <w:rsid w:val="0E3442E6"/>
    <w:rsid w:val="0F297F35"/>
    <w:rsid w:val="13F040EE"/>
    <w:rsid w:val="162A6FD7"/>
    <w:rsid w:val="16EF5A99"/>
    <w:rsid w:val="18DA08DF"/>
    <w:rsid w:val="1B5932FF"/>
    <w:rsid w:val="1CEA3E36"/>
    <w:rsid w:val="1F373DD1"/>
    <w:rsid w:val="1FDC34D1"/>
    <w:rsid w:val="22E05F82"/>
    <w:rsid w:val="233E2A6C"/>
    <w:rsid w:val="254C5603"/>
    <w:rsid w:val="256B4972"/>
    <w:rsid w:val="26071CD7"/>
    <w:rsid w:val="26A41426"/>
    <w:rsid w:val="2A3224C5"/>
    <w:rsid w:val="2D254303"/>
    <w:rsid w:val="2D28017C"/>
    <w:rsid w:val="30104448"/>
    <w:rsid w:val="3155413F"/>
    <w:rsid w:val="354A25D5"/>
    <w:rsid w:val="3A136050"/>
    <w:rsid w:val="3AFD2A1C"/>
    <w:rsid w:val="3DB75CC5"/>
    <w:rsid w:val="41812AB6"/>
    <w:rsid w:val="429470F8"/>
    <w:rsid w:val="444449C1"/>
    <w:rsid w:val="47E03079"/>
    <w:rsid w:val="48123C4D"/>
    <w:rsid w:val="4BB56DC7"/>
    <w:rsid w:val="4C3A06AF"/>
    <w:rsid w:val="4C5F3C54"/>
    <w:rsid w:val="4FD71D5F"/>
    <w:rsid w:val="5028561E"/>
    <w:rsid w:val="504F7C62"/>
    <w:rsid w:val="52B010A5"/>
    <w:rsid w:val="56983779"/>
    <w:rsid w:val="58393836"/>
    <w:rsid w:val="5ABE2A0A"/>
    <w:rsid w:val="5B0F1385"/>
    <w:rsid w:val="5C733FA6"/>
    <w:rsid w:val="5DAC4C99"/>
    <w:rsid w:val="5F466FFF"/>
    <w:rsid w:val="5F6D3EB1"/>
    <w:rsid w:val="5FC81E7A"/>
    <w:rsid w:val="60B85EED"/>
    <w:rsid w:val="615F736F"/>
    <w:rsid w:val="617768F8"/>
    <w:rsid w:val="61BE0012"/>
    <w:rsid w:val="64963D0D"/>
    <w:rsid w:val="65684EBF"/>
    <w:rsid w:val="6A4B6607"/>
    <w:rsid w:val="6DA5428C"/>
    <w:rsid w:val="70142C4D"/>
    <w:rsid w:val="70CE405B"/>
    <w:rsid w:val="71034277"/>
    <w:rsid w:val="71997868"/>
    <w:rsid w:val="73A817AF"/>
    <w:rsid w:val="772D29BD"/>
    <w:rsid w:val="77A81E3F"/>
    <w:rsid w:val="78705E34"/>
    <w:rsid w:val="79104FDB"/>
    <w:rsid w:val="7A18722F"/>
    <w:rsid w:val="7AD6178E"/>
    <w:rsid w:val="7B5E4E97"/>
    <w:rsid w:val="7C90568D"/>
    <w:rsid w:val="7E7C0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3</TotalTime>
  <ScaleCrop>false</ScaleCrop>
  <LinksUpToDate>false</LinksUpToDate>
  <CharactersWithSpaces>3370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2023-10-09T11:19:16Z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4E44EDF0EF9F46F78136DEDCDFA20100</vt:lpwstr>
  </property>
</Properties>
</file>